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9.07264232635498" w:lineRule="auto"/>
        <w:ind w:left="798.4512329101562" w:right="963.2000732421875" w:firstLine="0"/>
        <w:jc w:val="center"/>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19050" distT="19050" distL="19050" distR="19050">
            <wp:extent cx="4760976" cy="1944624"/>
            <wp:effectExtent b="0" l="0" r="0" t="0"/>
            <wp:docPr id="30" name="image26.png"/>
            <a:graphic>
              <a:graphicData uri="http://schemas.openxmlformats.org/drawingml/2006/picture">
                <pic:pic>
                  <pic:nvPicPr>
                    <pic:cNvPr id="0" name="image26.png"/>
                    <pic:cNvPicPr preferRelativeResize="0"/>
                  </pic:nvPicPr>
                  <pic:blipFill>
                    <a:blip r:embed="rId6"/>
                    <a:srcRect b="0" l="0" r="0" t="0"/>
                    <a:stretch>
                      <a:fillRect/>
                    </a:stretch>
                  </pic:blipFill>
                  <pic:spPr>
                    <a:xfrm>
                      <a:off x="0" y="0"/>
                      <a:ext cx="4760976" cy="1944624"/>
                    </a:xfrm>
                    <a:prstGeom prst="rect"/>
                    <a:ln/>
                  </pic:spPr>
                </pic:pic>
              </a:graphicData>
            </a:graphic>
          </wp:inline>
        </w:drawing>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MEMORIAL DESCRITIVO – ESPECIFICAÇÕES TÉCNICAS </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01123046875" w:line="240" w:lineRule="auto"/>
        <w:ind w:left="866.1471557617188" w:right="0" w:firstLine="0"/>
        <w:jc w:val="left"/>
        <w:rPr>
          <w:rFonts w:ascii="Arial" w:cs="Arial" w:eastAsia="Arial" w:hAnsi="Arial"/>
          <w:b w:val="1"/>
          <w:i w:val="0"/>
          <w:smallCaps w:val="0"/>
          <w:strike w:val="0"/>
          <w:color w:val="000000"/>
          <w:sz w:val="27.1200008392334"/>
          <w:szCs w:val="27.1200008392334"/>
          <w:u w:val="none"/>
          <w:shd w:fill="auto" w:val="clear"/>
          <w:vertAlign w:val="baseline"/>
        </w:rPr>
      </w:pPr>
      <w:r w:rsidDel="00000000" w:rsidR="00000000" w:rsidRPr="00000000">
        <w:rPr>
          <w:rFonts w:ascii="Arial" w:cs="Arial" w:eastAsia="Arial" w:hAnsi="Arial"/>
          <w:b w:val="1"/>
          <w:i w:val="0"/>
          <w:smallCaps w:val="0"/>
          <w:strike w:val="0"/>
          <w:color w:val="000000"/>
          <w:sz w:val="27.1200008392334"/>
          <w:szCs w:val="27.1200008392334"/>
          <w:u w:val="none"/>
          <w:shd w:fill="auto" w:val="clear"/>
          <w:vertAlign w:val="baseline"/>
          <w:rtl w:val="0"/>
        </w:rPr>
        <w:t xml:space="preserve">PAVIMENTAÇÃO DA RUA CELSO BRAS DE CARLI - ETAPA I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56.3092041015625" w:line="240" w:lineRule="auto"/>
        <w:ind w:left="3032.315216064453"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MUNICÍPIO DE JOAÇABA - SC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57080078125" w:line="240" w:lineRule="auto"/>
        <w:ind w:left="142.444763183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PREFEITURA: JOAÇABA - SC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7.9266357421875" w:line="240" w:lineRule="auto"/>
        <w:ind w:left="132.28805541992188"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OBRA: PAVIMENTAÇÃO EM C.B.U.Q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8.3258056640625" w:line="240" w:lineRule="auto"/>
        <w:ind w:left="142.444763183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LOCAL: RUA CELSO BRAS DE CARLI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7.9266357421875" w:line="1455.937843322754" w:lineRule="auto"/>
        <w:ind w:left="142.44476318359375" w:right="2131.5887451171875" w:firstLine="0"/>
        <w:jc w:val="center"/>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ENGº RESPONSÁVEL: MAX MOOSHAMMER – CREA/SC 139.164-0 JOAÇABA – SC, maio de 2024.</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24.051361083984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243328" cy="836676"/>
            <wp:effectExtent b="0" l="0" r="0" t="0"/>
            <wp:docPr id="32" name="image18.png"/>
            <a:graphic>
              <a:graphicData uri="http://schemas.openxmlformats.org/drawingml/2006/picture">
                <pic:pic>
                  <pic:nvPicPr>
                    <pic:cNvPr id="0" name="image18.png"/>
                    <pic:cNvPicPr preferRelativeResize="0"/>
                  </pic:nvPicPr>
                  <pic:blipFill>
                    <a:blip r:embed="rId7"/>
                    <a:srcRect b="0" l="0" r="0" t="0"/>
                    <a:stretch>
                      <a:fillRect/>
                    </a:stretch>
                  </pic:blipFill>
                  <pic:spPr>
                    <a:xfrm>
                      <a:off x="0" y="0"/>
                      <a:ext cx="2243328" cy="836676"/>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760986328125" w:line="240" w:lineRule="auto"/>
        <w:ind w:left="2146.7152404785156"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LISTA DE ABREVIATURAS, SIGLAS E SÍMBOLOS </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416015625" w:line="240" w:lineRule="auto"/>
        <w:ind w:left="26.159973144531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Área da Bacia de Contribuição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308.57351303100586" w:lineRule="auto"/>
        <w:ind w:left="33.888092041015625" w:right="2704.1534423828125" w:hanging="7.728118896484375"/>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AMMOC Associação dos Municípios do Meio Oeste Catarinense C Coeficiente de Deflúvio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3916015625" w:line="240" w:lineRule="auto"/>
        <w:ind w:left="34.108886718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cm Centímetro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308.57351303100586" w:lineRule="auto"/>
        <w:ind w:left="33.888092041015625" w:right="2075.1593017578125"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CREA Conselho Regional de Engenharia e Arquitetura e Agronomia C.B.U.Q. Concreto Betuminoso Usinado a Quente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63916015625" w:line="240" w:lineRule="auto"/>
        <w:ind w:left="41.61605834960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h Horas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240" w:lineRule="auto"/>
        <w:ind w:left="44.04479980468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I Inclinação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72802734375" w:line="240" w:lineRule="auto"/>
        <w:ind w:left="44.04479980468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Im Intensidade Média das Chuvas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72509765625" w:line="240" w:lineRule="auto"/>
        <w:ind w:left="41.61605834960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l Litro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744140625" w:line="240" w:lineRule="auto"/>
        <w:ind w:left="41.61605834960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m Metro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744140625" w:line="240" w:lineRule="auto"/>
        <w:ind w:left="39.187164306640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im Intensidade Média das Chuvas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72509765625" w:line="240" w:lineRule="auto"/>
        <w:ind w:left="41.61605834960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m² Metro Quadrado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240" w:lineRule="auto"/>
        <w:ind w:left="41.61605834960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mm Milímetros </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240" w:lineRule="auto"/>
        <w:ind w:left="41.61605834960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mm/h Milímetros por hora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0.7257080078125" w:line="240" w:lineRule="auto"/>
        <w:ind w:left="44.04479980468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MPa Megapascal </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240" w:lineRule="auto"/>
        <w:ind w:left="41.61605834960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nº Número </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240" w:lineRule="auto"/>
        <w:ind w:left="33.888092041015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Q Vazão </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1.12548828125" w:line="240" w:lineRule="auto"/>
        <w:ind w:left="44.04479980468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P.C.D. Pessoa com Deficiência </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240" w:lineRule="auto"/>
        <w:ind w:left="36.7584228515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SC Suporte California </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3.126220703125" w:line="240" w:lineRule="auto"/>
        <w:ind w:left="33.888092041015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Ø Diâmetro</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24.051361083984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243328" cy="836676"/>
            <wp:effectExtent b="0" l="0" r="0" t="0"/>
            <wp:docPr id="31" name="image19.png"/>
            <a:graphic>
              <a:graphicData uri="http://schemas.openxmlformats.org/drawingml/2006/picture">
                <pic:pic>
                  <pic:nvPicPr>
                    <pic:cNvPr id="0" name="image19.png"/>
                    <pic:cNvPicPr preferRelativeResize="0"/>
                  </pic:nvPicPr>
                  <pic:blipFill>
                    <a:blip r:embed="rId7"/>
                    <a:srcRect b="0" l="0" r="0" t="0"/>
                    <a:stretch>
                      <a:fillRect/>
                    </a:stretch>
                  </pic:blipFill>
                  <pic:spPr>
                    <a:xfrm>
                      <a:off x="0" y="0"/>
                      <a:ext cx="2243328" cy="836676"/>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760986328125" w:line="240" w:lineRule="auto"/>
        <w:ind w:left="4046.9871520996094"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SUMÁRIO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416015625" w:line="397.47937202453613" w:lineRule="auto"/>
        <w:ind w:left="18.326416015625" w:right="183.233642578125" w:firstLine="18.76800537109375"/>
        <w:jc w:val="both"/>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 IDENTIFICAÇÃO DO EMPREENDIMENTO..................................................... 5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1.1 PAVIMENTAÇÃO ALFÁLTICA (C.B.U.Q.)............................................................ 5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2. GENERALIDADES ........................................................................................... 5 3. SERVIÇOS INICIAIS ........................................................................................ 6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3.1 DOCUMENTAÇÃO........................................................................................... 6 3.2 PLACA DE OBRA.............................................................................................. 7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4. PROJETOS ...................................................................................................... 7 5. RESPONSABILIDADE TÉCNICA...................................................................... 7 6. DEMOLIÇÕES ................................................................................................. 7 7. LOCAÇÃO DE OBRA COM EQUIPAMENTOS TOPOGRÁFICOS ..................... 7 8. PROJETOS DE PAVIMENTAÇÃO.................................................................... 8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8.1 ESTUDOS TOPOGRÁFICOS .............................................................................. 8 8.2 PROJETO GEOMÉTRICO................................................................................... 9 8.3 PROJETO PLANIALTIMÉTRICO ......................................................................... 9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9. PROJETO DE PAVIMENTAÇÃO ASFÁLTICA .................................................. 9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9.1 REVESTIMENTO............................................................................................. 10 9.2 EXECUÇÃO DOS SERVIÇOS............................................................................ 10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9.2.1 Imprimação.................................................................................................. 10 9.2.2 Pintura de Ligação....................................................................................... 10 9.2.3 Materiais Asfálticos ..................................................................................... 11 9.2.4 Camada de Concreto Asfáltico Usinado a Quente ..................................... 11 9.2.5 Laudo Técnico de Controle Tecnológico .................................................... 11 10. MEIO-FIO DA CAIXA DA RUA ..................................................................... 12 11. DRENAGEM SUPERFICIAL DE ÁGUAS PLUVIAIS ........................................ 13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11.1 CARACTERÍSTICAS GERAIS ............................................................................ 13 11.2 DESTINO DAS ÁGUAS ................................................................................... 14 11.3 BOCAS DE LOBO ........................................................................................... 14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12. SINALIZAÇÃO VIÁRIA ................................................................................. 14</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24.0513610839844"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Pr>
        <w:drawing>
          <wp:inline distB="19050" distT="19050" distL="19050" distR="19050">
            <wp:extent cx="2243328" cy="836676"/>
            <wp:effectExtent b="0" l="0" r="0" t="0"/>
            <wp:docPr id="25" name="image25.png"/>
            <a:graphic>
              <a:graphicData uri="http://schemas.openxmlformats.org/drawingml/2006/picture">
                <pic:pic>
                  <pic:nvPicPr>
                    <pic:cNvPr id="0" name="image25.png"/>
                    <pic:cNvPicPr preferRelativeResize="0"/>
                  </pic:nvPicPr>
                  <pic:blipFill>
                    <a:blip r:embed="rId7"/>
                    <a:srcRect b="0" l="0" r="0" t="0"/>
                    <a:stretch>
                      <a:fillRect/>
                    </a:stretch>
                  </pic:blipFill>
                  <pic:spPr>
                    <a:xfrm>
                      <a:off x="0" y="0"/>
                      <a:ext cx="2243328" cy="836676"/>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760986328125" w:line="397.46397972106934" w:lineRule="auto"/>
        <w:ind w:left="37.09442138671875" w:right="183.233642578125" w:firstLine="1.545562744140625"/>
        <w:jc w:val="both"/>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 SINALIZAÇÃO VERTICAL................................................................................ 14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12.1.1 Placas de Informações Complementares.................................................... 14 12.1.2 Material de Confecção das Placas............................................................... 15 12.1.3 Suporte das Placas....................................................................................... 16 12.1.4 Dispositivos de Fixação............................................................................... 16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 SINALIZAÇÃO HORIZONTAL.......................................................................... 21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13. LIMPEZA FINAL............................................................................................ 22 14. LAUDOS E ENSAIOS LABORATORIAIS ........................................................ 22 15. CONSIDERAÇÕES FINAIS............................................................................. 26</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4" name="image20.png"/>
            <a:graphic>
              <a:graphicData uri="http://schemas.openxmlformats.org/drawingml/2006/picture">
                <pic:pic>
                  <pic:nvPicPr>
                    <pic:cNvPr id="0" name="image20.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5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 IDENTIFICAÇÃO DO EMPREENDIMENTO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75390625" w:line="397.6677703857422" w:lineRule="auto"/>
        <w:ind w:left="14.13116455078125" w:right="111.322021484375" w:firstLine="728.233642578125"/>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Este Memorial Descritivo tem por objetivo complementar o desenho relativo ao projeto  de Pavimentação em C.B.U.Q da Rua Celso Brás de Carli, localizadas no município de JOAÇABA – SC. A pavimentação dessas vias tem o objetivo de interligar diversas vias existentes do  município garantindo a mobilidade urbana.  </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7.26030349731445" w:lineRule="auto"/>
        <w:ind w:left="5.07843017578125" w:right="113.91845703125" w:firstLine="706.153564453125"/>
        <w:jc w:val="both"/>
        <w:rPr>
          <w:rFonts w:ascii="Arial" w:cs="Arial" w:eastAsia="Arial" w:hAnsi="Arial"/>
          <w:b w:val="1"/>
          <w:i w:val="1"/>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1"/>
          <w:smallCaps w:val="0"/>
          <w:strike w:val="0"/>
          <w:color w:val="000000"/>
          <w:sz w:val="22.079999923706055"/>
          <w:szCs w:val="22.079999923706055"/>
          <w:u w:val="none"/>
          <w:shd w:fill="auto" w:val="clear"/>
          <w:vertAlign w:val="baseline"/>
          <w:rtl w:val="0"/>
        </w:rPr>
        <w:t xml:space="preserve">Alterações na obra só serão permitidas por meio de aviso prévio ao engenheiro  responsável pelo projeto e ao fiscal da obra, qualquer item executado diverso ao  projetado sem autorização incluindo defeitos (substituição, reparos ou mesmo refazer o  serviço) acarretará em custos adicionais que serão de inteira responsabilidade da  empresa vencedora do processo licitatório. </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047363281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1.1 PAVIMENTAÇÃO ALFÁLTICA (C.B.U.Q.) </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57080078125" w:line="240" w:lineRule="auto"/>
        <w:ind w:left="23.18389892578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2. GENERALIDADES </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1260986328125" w:line="395.49407958984375" w:lineRule="auto"/>
        <w:ind w:left="733.5328674316406" w:right="965.0823974609375" w:firstLine="8.831939697265625"/>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Deverão ser mantidas na obra, em local determinado pela fiscalização, placas:  </w:t>
      </w: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Da AMMOC, responsável pelo projeto;  </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4710693359375" w:line="240" w:lineRule="auto"/>
        <w:ind w:left="733.532867431640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Da Empreiteira, com os Responsáveis Técnicos pela execução; </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587890625" w:line="397.666711807251" w:lineRule="auto"/>
        <w:ind w:left="24.508819580078125" w:right="114.35546875" w:firstLine="709.0240478515625"/>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Do órgão concedente dos recursos (descrita abaixo em item específico); A pavimentação deverá ser feita rigorosamente de acordo com o projeto aprovado,  sendo que toda e qualquer alteração que por ventura deva ser introduzida no projeto ou nas  especificações, visando melhorias, só será admitida com autorização do Responsável Técnico  pelo projeto. </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07305908203125" w:line="396.58069610595703" w:lineRule="auto"/>
        <w:ind w:left="21.859130859375" w:right="111.322021484375" w:firstLine="717.8561401367188"/>
        <w:jc w:val="both"/>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Poderá a fiscalização paralisar os serviços, ou mesmo mandar refazê-los quando  os mesmos não se apresentarem de acordo com as especificações, detalhes ou normas  de boa técnica. </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47222900390625" w:line="397.6673126220703" w:lineRule="auto"/>
        <w:ind w:left="24.508819580078125" w:right="115.4443359375" w:firstLine="717.85598754882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Nos projetos apresentados, entre as medidas tomadas em escala e medidas  determinadas por cotas, prevalecerão sempre as últimas.</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9" name="image31.png"/>
            <a:graphic>
              <a:graphicData uri="http://schemas.openxmlformats.org/drawingml/2006/picture">
                <pic:pic>
                  <pic:nvPicPr>
                    <pic:cNvPr id="0" name="image31.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6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397.66788482666016" w:lineRule="auto"/>
        <w:ind w:left="24.508819580078125" w:right="113.328857421875" w:firstLine="707.6992797851562"/>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Caberá à empreiteira proceder à instalação da obra, dentro das normas gerais de  construção, com previsão de depósito de materiais, mantendo o canteiro de serviços sempre  organizado e limpo. Deve também manter serviço ininterrupto de vigilância da obra, até sua  entrega definitiva, responsabilizando-se por quaisquer danos decorrentes da execução da  mesma. </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3388671875" w:line="397.93893814086914" w:lineRule="auto"/>
        <w:ind w:left="24.508819580078125" w:right="111.31103515625" w:firstLine="717.8559875488281"/>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É de responsabilidade sua manter atualizados, no canteiro de obras, Alvará, Diário de  obras, Certidões e Licenças, evitando interrupções por embargo, assim como possuir os  cronogramas e demais elementos que interessam aos serviços. </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224365234375" w:line="397.3048782348633" w:lineRule="auto"/>
        <w:ind w:left="24.508819580078125" w:right="111.56494140625" w:firstLine="0"/>
        <w:jc w:val="center"/>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Deverão ser observadas as normas de segurança do trabalho em todos os aspectos. Todo material a ser empregado na obra deverá receber aprovação da fiscalização antes  de começar a ser utilizado. Deve permanecer no escritório uma amostra dos mesmos. No caso de a empreiteira querer substituir materiais ou serviços que constam nesta  especificação, deverá apresentar memorial descritivo, memorial justificativo para sua utilização  e a composição orçamentária completa, que permita comparação, pelo autor do projeto, com  materiais e/ou serviços semelhantes, além de catálogos e informações complementares.  </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4056396484375" w:line="240" w:lineRule="auto"/>
        <w:ind w:left="26.71676635742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3. SERVIÇOS INICIAIS </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416015625" w:line="240" w:lineRule="auto"/>
        <w:ind w:left="27.379150390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3.1 DOCUMENTAÇÃO </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66648292541504" w:lineRule="auto"/>
        <w:ind w:left="24.508819580078125" w:right="115.0048828125" w:firstLine="699.9711608886719"/>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Antes do início dos serviços a empreiteira deverá providenciar, e apresentar para o  órgão contratante: </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7783203125" w:line="240" w:lineRule="auto"/>
        <w:ind w:left="731.766510009765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ART de execução; </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618408203125" w:line="240" w:lineRule="auto"/>
        <w:ind w:left="739.9360656738281"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b) Alvará de construção;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2.12677001953125" w:line="240" w:lineRule="auto"/>
        <w:ind w:left="732.4288940429688"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 CEI da Previdência Social; </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64892578125" w:line="240" w:lineRule="auto"/>
        <w:ind w:left="732.4288940429688"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 Livro de registro dos funcionários; </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9.12689208984375" w:line="240" w:lineRule="auto"/>
        <w:ind w:left="732.4288940429688"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 Programas de Segurança do Trabalho; </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64892578125" w:line="240" w:lineRule="auto"/>
        <w:ind w:left="727.7920532226562"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f) Diário de obra de acordo com o Tribunal de Contas.</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7" name="image29.png"/>
            <a:graphic>
              <a:graphicData uri="http://schemas.openxmlformats.org/drawingml/2006/picture">
                <pic:pic>
                  <pic:nvPicPr>
                    <pic:cNvPr id="0" name="image29.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7 </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240" w:lineRule="auto"/>
        <w:ind w:left="27.379150390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3.2 PLACA DE OBRA </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75390625" w:line="397.6670551300049" w:lineRule="auto"/>
        <w:ind w:left="24.508819580078125" w:right="115.6640625" w:firstLine="717.85598754882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Em cada uma das obras deverá ser fixada uma placa conforme modelo abaixo nas  dimensões de 2,00 m de (largura) x 2,25m (altura). </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3828125" w:line="240" w:lineRule="auto"/>
        <w:ind w:left="18.3264160156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4. PROJETOS </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32568359375" w:line="240" w:lineRule="auto"/>
        <w:ind w:left="732.208099365234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Projeto refere-se à Pavimentação Asfáltica em C.B.U.Q. e compõe-se de: </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416015625" w:line="240" w:lineRule="auto"/>
        <w:ind w:left="730.220794677734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Projeto de Pavimentação Asfáltica; </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7099609375" w:line="240" w:lineRule="auto"/>
        <w:ind w:left="730.220794677734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Projeto de Drenagem Pluvial; </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64892578125" w:line="240" w:lineRule="auto"/>
        <w:ind w:left="730.220794677734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Projeto de Sinalização Viária Horizontal e Vertical; </w:t>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587890625" w:line="240" w:lineRule="auto"/>
        <w:ind w:left="730.220794677734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Orçamentação, Memorial Descritivo e Cronograma. </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57080078125" w:line="240" w:lineRule="auto"/>
        <w:ind w:left="29.3663024902343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5. RESPONSABILIDADE TÉCNICA </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1260986328125" w:line="396.94238662719727" w:lineRule="auto"/>
        <w:ind w:left="24.28802490234375" w:right="111.7822265625" w:firstLine="707.9200744628906"/>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projeto terá sua Anotação de Responsabilidade Técnica (ART), anotada perante o  CREA/SC, pelo Engenheiro Civil Max Mooshammer, sob o CREA/SC nº 139.164-0, funcionário da AMMOC – Associação dos Municípios do Meio Oeste Catarinense. A ART de execução  deverá ser apresentada pela empresa executora. </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339111328125" w:line="240" w:lineRule="auto"/>
        <w:ind w:left="24.950408935546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6. DEMOLIÇÕES </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0131835938" w:line="398.21056365966797" w:lineRule="auto"/>
        <w:ind w:left="32.0159912109375" w:right="112.728271484375" w:firstLine="700.1921081542969"/>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Caso necessárias demolições, serão a fim de garantir a caixa da via e serão executadas  pela empresa ganhadora. </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2.77313232421875" w:line="240" w:lineRule="auto"/>
        <w:ind w:left="24.508819580078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7. LOCAÇÃO DE OBRA COM EQUIPAMENTOS TOPOGRÁFICOS</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1" name="image24.png"/>
            <a:graphic>
              <a:graphicData uri="http://schemas.openxmlformats.org/drawingml/2006/picture">
                <pic:pic>
                  <pic:nvPicPr>
                    <pic:cNvPr id="0" name="image24.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8 </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397.6681709289551" w:lineRule="auto"/>
        <w:ind w:left="23.846435546875" w:right="111.099853515625" w:firstLine="718.5183715820312"/>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Deverá ser locada a obra com equipamentos de topografia, conforme projeto. No  momento da execução, a AMMOC disponibilizará o arquivo digital contendo os pontos de  amarração do projeto que estão materializados ao longo da extensão da via. </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7.6681709289551" w:lineRule="auto"/>
        <w:ind w:left="24.508819580078125" w:right="111.87866210937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empresa deverá fornecer nota de serviço dos serviços de aterro previstos em projeto  para quantificação dos reais volumes executados, bem como relatório dos elementos de  drenagens, cotas, fundos de bocas e inclinações finais. </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27197265625" w:line="240" w:lineRule="auto"/>
        <w:ind w:left="22.7423095703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8. PROJETOS DE PAVIMENTAÇÃO </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416015625" w:line="397.6670551300049" w:lineRule="auto"/>
        <w:ind w:left="18.76800537109375" w:right="112.3876953125" w:firstLine="713.4400939941406"/>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Projeto de pavimentação tem por finalidade definir as espessuras das camadas do  pavimento, o tipo de pavimento, o tipo de material a ser empregado, de acordo com o tipo de  material existente no sub-leito, bem como a topografia da região. O mesmo define a seção  transversal do pavimento, e sua variação ao longo do eixo. Estabelece também o tipo de  pavimentação definindo o tipo de revestimento e as demais camadas estruturais capazes de  suportar as cargas previstas durante o período de vida útil. </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7783203125" w:line="396.7612838745117" w:lineRule="auto"/>
        <w:ind w:left="24.508819580078125" w:right="113.8989257812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Além disso, define geometricamente as diferentes camadas componentes  estabelecendo os materiais constituintes, especificando valores mínimos e máximos das  características físico-mecânicas desses materiais </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505126953125" w:line="240" w:lineRule="auto"/>
        <w:ind w:left="23.8464355468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8.1 ESTUDOS TOPOGRÁFICOS </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847957611084" w:lineRule="auto"/>
        <w:ind w:left="24.508819580078125" w:right="111.24877929687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locação foi efetuada através do levantamento topográfico </w:t>
      </w:r>
      <w:r w:rsidDel="00000000" w:rsidR="00000000" w:rsidRPr="00000000">
        <w:rPr>
          <w:rFonts w:ascii="Arial" w:cs="Arial" w:eastAsia="Arial" w:hAnsi="Arial"/>
          <w:b w:val="0"/>
          <w:i w:val="1"/>
          <w:smallCaps w:val="0"/>
          <w:strike w:val="0"/>
          <w:color w:val="000000"/>
          <w:sz w:val="22.079999923706055"/>
          <w:szCs w:val="22.079999923706055"/>
          <w:u w:val="none"/>
          <w:shd w:fill="auto" w:val="clear"/>
          <w:vertAlign w:val="baseline"/>
          <w:rtl w:val="0"/>
        </w:rPr>
        <w:t xml:space="preserve">in loco</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com o auxílio de  estação total. Não serão necessárias grandes movimentações de terra, pois o traçado da via já  se encontra definido, exceto as movimentações provenientes de drenagens pluviais e  regularização do subleito. </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30615234375" w:line="397.1058654785156" w:lineRule="auto"/>
        <w:ind w:left="18.76800537109375" w:right="111.30126953125" w:firstLine="723.5968017578125"/>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Projetou-se o traçado da via pelas conformidades das retas existentes lançando-se as  tangentes para a definição dos Pontos de Intersecção (PIS). Cada eixo foi estaqueado de 20  em 20 metros, proporcionando assim um melhor detalhamento vertical e horizontal da rua e  as medidas das distâncias entre os piquetes foram realizadas com trena de fibra de vidro,  segundo a horizontal.</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19" name="image21.png"/>
            <a:graphic>
              <a:graphicData uri="http://schemas.openxmlformats.org/drawingml/2006/picture">
                <pic:pic>
                  <pic:nvPicPr>
                    <pic:cNvPr id="0" name="image21.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3710937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9 </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62.72705078125" w:line="240" w:lineRule="auto"/>
        <w:ind w:left="23.8464355468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8.2 PROJETO GEOMÉTRICO </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6681709289551" w:lineRule="auto"/>
        <w:ind w:left="23.846435546875" w:right="111.91162109375" w:firstLine="708.3616638183594"/>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projeto geométrico foi desenvolvido tendo por base as características técnicas  preconizadas nas Normas para Projetos Geométricos de Logradouros Urbanos, e foi ordenado  aos elementos básicos reconhecidos pelos estudos Topográficos. </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7.9394817352295" w:lineRule="auto"/>
        <w:ind w:left="15.676727294921875" w:right="113.29345703125" w:firstLine="726.6880798339844"/>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Para a execução do projeto geométrico, buscou-se realizar alguns estudos a fim de  viabilizar a realização da obra da rua. Esse estudo tem por finalidade os seguintes objetivos: </w:t>
      </w: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Execução do projeto horizontal e vertical da pavimentação; </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822021484375" w:line="240" w:lineRule="auto"/>
        <w:ind w:left="733.532867431640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Dimensionamento de drenagem e das pavimentações; </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7099609375" w:line="240" w:lineRule="auto"/>
        <w:ind w:left="733.532867431640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Orçamento do trecho a ser pavimentado. </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240" w:lineRule="auto"/>
        <w:ind w:left="23.8464355468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8.3 PROJETO PLANIALTIMÉTRICO </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57080078125" w:line="397.84775733947754" w:lineRule="auto"/>
        <w:ind w:left="32.0159912109375" w:right="111.553955078125" w:firstLine="700.192108154296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projeto Planialtimétrico constitui-se na representação gráfica dos dados obtidos nos  Estudos Topográficos, resultando da exploração realizada em campo com Estação Total. O  projeto planialtimétrico do local está exposto em anexo. </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3.106689453125" w:line="240" w:lineRule="auto"/>
        <w:ind w:left="22.521514892578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9. PROJETO DE PAVIMENTAÇÃO ASFÁLTICA </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7754878997803" w:lineRule="auto"/>
        <w:ind w:left="18.76800537109375" w:right="111.129150390625" w:firstLine="713.4400939941406"/>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Projeto de pavimentação tem por finalidade definir as espessuras das camadas do  pavimento, o tipo de pavimento, o tipo de material a ser empregado, de acordo com o tipo de  material existente no sub-leito, bem como a topografia da região. O mesmo define a seção  transversal do pavimento, e sua variação ao longo do eixo. Estabelece também o tipo de  pavimentação definindo o tipo de revestimento e as demais camadas estruturais capazes de  suportar as cargas previstas durante o período de vida útil. </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973388671875" w:line="397.66719818115234" w:lineRule="auto"/>
        <w:ind w:left="24.508819580078125" w:right="112.73315429687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Além disso, define geometricamente as diferentes camadas componentes  estabelecendo os materiais constituintes, especificando valores mínimos e máximos das  características físico-mecânicas desses materiais.</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2" name="image23.png"/>
            <a:graphic>
              <a:graphicData uri="http://schemas.openxmlformats.org/drawingml/2006/picture">
                <pic:pic>
                  <pic:nvPicPr>
                    <pic:cNvPr id="0" name="image23.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10 </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240" w:lineRule="auto"/>
        <w:ind w:left="24.28802490234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9.1 REVESTIMENTO </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75390625" w:line="397.6677703857422" w:lineRule="auto"/>
        <w:ind w:left="24.508819580078125" w:right="115.260009765625" w:firstLine="717.85598754882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Determinou-se que o revestimento utilizado será em C.B.U.Q. (Concreto Betuminoso Usinado a Quente). O mesmo será espalhado com vibroacabadora e compactado com rolo  compactador conforme indica o detalhe das seções transversais do pavimento, esta terá uma  declividade transversal de 3% cada pista de rolamento. </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27197265625" w:line="240" w:lineRule="auto"/>
        <w:ind w:left="24.28802490234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9.2 EXECUÇÃO DOS SERVIÇOS </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416015625" w:line="240" w:lineRule="auto"/>
        <w:ind w:left="22.521514892578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9.2.1 Imprimação </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9287109375" w:line="397.6666259765625" w:lineRule="auto"/>
        <w:ind w:left="24.508819580078125" w:right="113.569335937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pintura asfáltica de imprimação será feita após a aceitação da camada de brita  graduada, numa taxa de 0,80 a 1,0 l/m², com a função de aumentar a coesão superficial,  conferir certo grau de impermeabilidade e promover condições de aderência entre a camada  de base e o revestimento asfáltico a ser sobreposto. Neste serviço estão incluídas todas as  operações e o fornecimento de todos os materiais necessários à sua completa execução.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87255859375" w:line="396.58032417297363" w:lineRule="auto"/>
        <w:ind w:left="23.846435546875" w:right="115.223388671875" w:firstLine="708.3616638183594"/>
        <w:jc w:val="both"/>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Os serviços de imprimação foram orçados em metros quadrados e os quantitativos  correspondentes indicados no Orçamento dos Serviços de Pavimentação. Este serviço deverá  atender ao que preceitua as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Especificações Gerais do DEINFRA-SC. </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67236328125" w:line="240" w:lineRule="auto"/>
        <w:ind w:left="22.521514892578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9.2.2 Pintura de Ligação </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57080078125" w:line="397.3411560058594" w:lineRule="auto"/>
        <w:ind w:left="23.404693603515625" w:right="112.608642578125" w:firstLine="701.0752868652344"/>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pintura asfáltica de ligação será feita previamente ao lançamento da camada de  revestimento asfáltico, numa taxa de 0,80 a 1,0 l/m². A pintura de ligação será feita com o  objetivo de promover a aderência entre a camada de base e o revestimento asfáltico a ser  sobreposto, nos segmentos em que a imprimação tenha ficado exposta ao tempo por mais de  07 dias ou tenha recebido trafego intenso. Neste serviço estão incluídas todas as operações e  o fornecimento e transporte de todos os materiais necessários à sua completa execução. </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77276611328125" w:line="397.59467124938965" w:lineRule="auto"/>
        <w:ind w:left="25.391998291015625" w:right="115.88623046875" w:firstLine="706.8161010742188"/>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Os serviços de pintura asfáltica de ligação foram orçados em metros quadrados. Este  serviço deverá atender ao que preceitua as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Especificações Gerais do DEINFRA-SC.</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18" name="image28.png"/>
            <a:graphic>
              <a:graphicData uri="http://schemas.openxmlformats.org/drawingml/2006/picture">
                <pic:pic>
                  <pic:nvPicPr>
                    <pic:cNvPr id="0" name="image28.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11 </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62.72705078125" w:line="240" w:lineRule="auto"/>
        <w:ind w:left="22.521514892578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9.2.3 Materiais Asfálticos </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6681709289551" w:lineRule="auto"/>
        <w:ind w:left="32.0159912109375" w:right="113.67919921875" w:firstLine="700.1921081542969"/>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Os materiais a serem utilizados nos Tratamentos Superficiais Asfálticos por Penetração  podem ser do tipo: </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3388671875" w:line="240" w:lineRule="auto"/>
        <w:ind w:left="733.532867431640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Cimento Asfáltico de Petróleo – CAP-50/70; </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587890625" w:line="240" w:lineRule="auto"/>
        <w:ind w:left="733.532867431640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Emulsões asfálticas de Ruptura Rápida – RR-2C; </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2.12646484375" w:line="397.6681709289551" w:lineRule="auto"/>
        <w:ind w:left="1301.2284851074219" w:right="112.083740234375" w:hanging="567.6956176757812"/>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Outros tipos de matérias asfálticos poderão ser admitidos, desde que  devidamente justificados. </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4.072265625" w:line="397.6681709289551" w:lineRule="auto"/>
        <w:ind w:left="21.859130859375" w:right="115.980224609375" w:firstLine="720.5056762695312"/>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Nota Importante: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Todo o processo de tratamento superficial deve seguir as  orientações de serviços do DER-SC-ES-08/92. </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19970703125" w:line="240" w:lineRule="auto"/>
        <w:ind w:left="22.521514892578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9.2.4 Camada de Concreto Asfáltico Usinado a Quente </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57080078125" w:line="397.0632076263428" w:lineRule="auto"/>
        <w:ind w:left="19.871978759765625" w:right="111.177978515625" w:firstLine="712.3361206054688"/>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asfalto deverá ter um traço ao que preceitua as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Especificações Gerais do DNIT.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As  faixas granulométricas das misturas de agregados a serem adotadas são: Faixa C, para a  camada de revestimento da pista de rolamento. Deverá seguir a espessura indicada em projeto  compactada. </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2274169921875" w:line="240" w:lineRule="auto"/>
        <w:ind w:left="22.52151489257812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9.2.5 Laudo Técnico de Controle Tecnológico </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847957611084" w:lineRule="auto"/>
        <w:ind w:left="18.76800537109375" w:right="110.05859375" w:firstLine="713.4400939941406"/>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corpo de prova do asfalto e a realização de ensaios de verificação de espessura,  densidade e traço deverá ser realizado por empresa especializada de acordo com as Normas  técnicas vigentes e do DNIT, todos assinados por responsável técnico acompanhado com a  respectiva ART, Anotação de Responsabilidade Técnica. </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30615234375" w:line="396.9429016113281" w:lineRule="auto"/>
        <w:ind w:left="24.508819580078125" w:right="111.9921875" w:firstLine="717.8559875488281"/>
        <w:jc w:val="both"/>
        <w:rPr>
          <w:rFonts w:ascii="Arial" w:cs="Arial" w:eastAsia="Arial" w:hAnsi="Arial"/>
          <w:b w:val="0"/>
          <w:i w:val="0"/>
          <w:smallCaps w:val="0"/>
          <w:strike w:val="0"/>
          <w:color w:val="000000"/>
          <w:sz w:val="22.079999923706055"/>
          <w:szCs w:val="22.079999923706055"/>
          <w:u w:val="none"/>
          <w:shd w:fill="auto" w:val="clear"/>
          <w:vertAlign w:val="baseline"/>
        </w:rPr>
        <w:sectPr>
          <w:pgSz w:h="16820" w:w="11900" w:orient="portrait"/>
          <w:pgMar w:bottom="1918.0799865722656" w:top="120.001220703125" w:left="1687.9487609863281" w:right="952.80029296875" w:header="0" w:footer="720"/>
          <w:pgNumType w:start="1"/>
        </w:sect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Deverá ser realizado o laudo, após a execução dos serviços e poderá a fiscalização  solicitar que sejam retirados em pontos estratégicos os testemunhos para a verificação das  espessuras e do traço utilizado e o custo com esse serviço será de inteira responsabilidade da  empresa executora.</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0" name="image32.png"/>
            <a:graphic>
              <a:graphicData uri="http://schemas.openxmlformats.org/drawingml/2006/picture">
                <pic:pic>
                  <pic:nvPicPr>
                    <pic:cNvPr id="0" name="image32.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2.799072265625" w:line="240"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4286.400146484375" w:right="1122.855224609375" w:header="0" w:footer="720"/>
          <w:cols w:equalWidth="0" w:num="2">
            <w:col w:space="0" w:w="3260"/>
            <w:col w:space="0" w:w="3260"/>
          </w:cols>
        </w:sect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12 </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397.6681709289551" w:lineRule="auto"/>
        <w:ind w:left="18.547210693359375" w:right="114.781494140625" w:firstLine="716.5312194824219"/>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Será condicionante para liberação do último desembolso a apresentação do Laudo  Técnico de Controle Tecnológico e os resultados dos ensaios realizados em cada etapa dos  serviços.  </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260742187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10. MEIO-FIO DA CAIXA DA RUA </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3417568206787" w:lineRule="auto"/>
        <w:ind w:left="23.846435546875" w:right="111.513671875" w:firstLine="718.5183715820312"/>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Esta especificação tem por objetivo fixar as características exigidas para os meios fios  de concreto moldado </w:t>
      </w:r>
      <w:r w:rsidDel="00000000" w:rsidR="00000000" w:rsidRPr="00000000">
        <w:rPr>
          <w:rFonts w:ascii="Arial" w:cs="Arial" w:eastAsia="Arial" w:hAnsi="Arial"/>
          <w:b w:val="0"/>
          <w:i w:val="1"/>
          <w:smallCaps w:val="0"/>
          <w:strike w:val="0"/>
          <w:color w:val="000000"/>
          <w:sz w:val="22.079999923706055"/>
          <w:szCs w:val="22.079999923706055"/>
          <w:u w:val="none"/>
          <w:shd w:fill="auto" w:val="clear"/>
          <w:vertAlign w:val="baseline"/>
          <w:rtl w:val="0"/>
        </w:rPr>
        <w:t xml:space="preserve">in-loco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empregados nas obras viárias do Município. Conceituar-se-á como meio-fio a peça prismática retangular de dimensões e formatos  adiante discriminados, destinada a oferecer solução de descontinuidade entre a pista de  rolamento e o passeio ou o acostamento da via pública. Estas peças são também chamadas de  "guias" ou "cordões". </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7718505859375" w:line="397.66648292541504" w:lineRule="auto"/>
        <w:ind w:left="23.846435546875" w:right="114.609375" w:firstLine="718.5183715820312"/>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Nas especificações da SECRETARIA DE OBRAS DO MUNICÍPIO será sempre empregada  a denominação "meio-fio". </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7783203125" w:line="397.84775733947754" w:lineRule="auto"/>
        <w:ind w:left="24.508819580078125" w:right="111.934814453125" w:firstLine="707.6992797851562"/>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Os meios-fios e peças especiais de concreto que deverão atender, quanto aos materiais  e métodos executivos empregados, as disposições da NBR - 5732, NBR - 5733, NBR 5735 e  NBR - 5736. </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9068603515625" w:line="240" w:lineRule="auto"/>
        <w:ind w:left="742.3648071289062"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Deverão atender, ainda, as seguintes condições: </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587890625" w:line="240" w:lineRule="auto"/>
        <w:ind w:left="737.507171630859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Consumo mínimo de cimento: 300 Kg/m3. </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587890625" w:line="240" w:lineRule="auto"/>
        <w:ind w:left="737.507171630859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Resistência à compressão simples: (25 MPa). </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64892578125" w:line="397.66648292541504" w:lineRule="auto"/>
        <w:ind w:left="24.508819580078125" w:right="115.330810546875" w:firstLine="712.9983520507812"/>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Textura: as faces aparentes deverão apresentar uma textura lisa e homogênea  resultante do contato direto com as formas metálicas ou de madeira. Não serão aceitos com  defeitos construtivos, lascados, retocados ou acabados com trinchas e desempenadeiras. </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308349609375" w:line="398.21056365966797" w:lineRule="auto"/>
        <w:ind w:left="32.0159912109375" w:right="113.953857421875" w:firstLine="700.1921081542969"/>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Os modelos de meio-fio selecionados para cada via estão identificados em seu  respectivo item na planilha orçamentária e em detalhes no projeto. </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972900390625" w:line="240" w:lineRule="auto"/>
        <w:ind w:left="726.46728515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Todos os meios fios serão moldados in loco com auxílio de extrusora. </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9.12689208984375" w:line="397.6670551300049" w:lineRule="auto"/>
        <w:ind w:left="32.0159912109375" w:right="112.87109375" w:firstLine="703.0624389648438"/>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Será obrigado o chanfro na quina superior do meio fio conforme consta detalhe em  projeto.</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6" name="image30.png"/>
            <a:graphic>
              <a:graphicData uri="http://schemas.openxmlformats.org/drawingml/2006/picture">
                <pic:pic>
                  <pic:nvPicPr>
                    <pic:cNvPr id="0" name="image30.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13 </w:t>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11. DRENAGEM SUPERFICIAL DE ÁGUAS PLUVIAIS </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75390625" w:line="397.6677703857422" w:lineRule="auto"/>
        <w:ind w:left="18.76800537109375" w:right="111.103515625" w:firstLine="713.4400939941406"/>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projeto de drenagem foi elaborado com vistas ao estabelecimento dos dispositivos  necessários para a captação, interceptação e condução das águas superficiais, objetivando  conduzi-las para locais de deságues seguro, sem comprometer o pavimento, residências e  terrenos que margeiam a rua. </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7.46355056762695" w:lineRule="auto"/>
        <w:ind w:left="24.508819580078125" w:right="111.099853515625" w:firstLine="717.85598754882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Fica desde já esclarecido que o critério usado para classificar e quantificar as  microbacias para sua respectiva avaliação foi feito “in loco” por corpo técnico. Isso ocorre devido a impossibilidade de a prefeitura realizar ensaios geológicos e  estudos geotécnicos do local e levantamento hidrográficos das bacias hidrográficas. Para justificar a decisão de projetar utilizando como coeficiente de escoamento  superficial “runoff”, arbitrou-se, com respeito ao tipo de descrição da área, sendo caracterizado  por áreas sem melhoramentos, com respectivo coeficiente de escoamento superficial adotado  de 0,60, para ficarmos a favor da segurança sem correr riscos no dimensionamento dos ramais  de ligação e das galerias pluviais. </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6015625" w:line="398.0284595489502" w:lineRule="auto"/>
        <w:ind w:left="21.859130859375" w:right="119.315185546875" w:hanging="7.72796630859375"/>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Os serviços de drenagem só serão liberados após a execução de todas as  escavações, aterros e acertos de greide necessários a execução do projeto. </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2.94006347656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11.1 CARACTERÍSTICAS GERAIS </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666597366333" w:lineRule="auto"/>
        <w:ind w:left="0" w:right="112.75634765625" w:firstLine="725.3633117675781"/>
        <w:jc w:val="both"/>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Toda a tubulação será executada com tubos de concreto. Serão assentados sobre  lastro de brita e deverão ter as juntas envoltas em manta geotextil. Poderá a fiscalização  pedir que a tubulação seja refeita caso não seja comprovada a utilização das mantas nas  juntas dos tubos ou atestar a falta de encaixe dos mesmos na linha de drenagem. </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0733642578125" w:line="397.6670551300049" w:lineRule="auto"/>
        <w:ind w:left="23.846435546875" w:right="111.32568359375" w:firstLine="711.2319946289062"/>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Sua declividade seguirá a do perfil da rua no sentido longitudinal, porém nunca inferior  a 2%. </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4.07318115234375" w:line="397.6670551300049" w:lineRule="auto"/>
        <w:ind w:left="24.508819580078125" w:right="111.700439453125" w:firstLine="717.85598754882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Para o cálculo dos diâmetros da tubulação, utilizou-se o método de cálculo racional de  dimensionamento.</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8" name="image27.png"/>
            <a:graphic>
              <a:graphicData uri="http://schemas.openxmlformats.org/drawingml/2006/picture">
                <pic:pic>
                  <pic:nvPicPr>
                    <pic:cNvPr id="0" name="image27.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14 </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11.2 DESTINO DAS ÁGUAS </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75390625" w:line="397.6670551300049" w:lineRule="auto"/>
        <w:ind w:left="25.391998291015625" w:right="168.604736328125" w:firstLine="706.8161010742188"/>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Conforme o estudo topográfico da bacia em que se encontram as ruas, os deságues serão direcionados para os mesmos já existentes nas ruas, conforme indicações em projeto. </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38281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11.3 BOCAS DE LOBO </w:t>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32568359375" w:line="397.26871490478516" w:lineRule="auto"/>
        <w:ind w:left="24.508819580078125" w:right="111.063232421875" w:firstLine="717.85598754882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No projeto em anexo existem serviços a serem executados nas bocas de lobo. As descrições de “bocas de lobo” no projeto indicam a construção de bocas de lobo  novas incluindo desde a abertura do buraco até a fixação da grade metálica. As bocas de lobo serão executadas em blocos de concreto estrutural, preenchidos com  concreto, ou totalmente em concreto armado. A dimensão da abertura superior será de  (100x70) e as dimensões das caixas estão especificadas em projeto em anexo. Em sua parte  superior, ao nível do pavimento, deverá ser colocada uma grade que terá a finalidade de reter  gravetos e lixos, para que não cause entupimento da tubulação. Esta grade deverá ser fabricada  nas dimensões conforme o projeto e constituída de aço chato laminado com perfil de 1 ½”x  3/8”, e 2”x 3/8”, espaçadas conforme projeto, apoiadas em uma cantoneira de ferro, tipo L de  1 1/2” x 3/16”. </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8389892578125" w:line="397.66676902770996" w:lineRule="auto"/>
        <w:ind w:left="24.508819580078125" w:right="113.216552734375" w:firstLine="717.85598754882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Na parte inferior será executado concreto magro com uma resistência de 15 Mpa,  espessura de 10,00 cm. A resistência Mínima do concreto para as bocas de lobo e caixas de drenagem deverão ser de 20 Mpa. </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260742187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12. SINALIZAÇÃO VIÁRIA </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32629394531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 SINALIZAÇÃO VERTICAL </w:t>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7211914062"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12.1.1 Placas de Informações Complementares </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6235351562" w:line="397.59467124938965" w:lineRule="auto"/>
        <w:ind w:left="32.0159912109375" w:right="114.15283203125" w:firstLine="703.0624389648438"/>
        <w:jc w:val="left"/>
        <w:rPr>
          <w:rFonts w:ascii="Arial" w:cs="Arial" w:eastAsia="Arial" w:hAnsi="Arial"/>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1687.9487609863281" w:right="952.80029296875" w:header="0" w:footer="720"/>
          <w:cols w:equalWidth="0" w:num="1">
            <w:col w:space="0" w:w="9259.250946044922"/>
          </w:cols>
        </w:sect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Sendo necessário acrescentar informações para complementar os sinais de  regulamentação, como período de validade, características e uso do veículo, condições de </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3" name="image22.png"/>
            <a:graphic>
              <a:graphicData uri="http://schemas.openxmlformats.org/drawingml/2006/picture">
                <pic:pic>
                  <pic:nvPicPr>
                    <pic:cNvPr id="0" name="image22.png"/>
                    <pic:cNvPicPr preferRelativeResize="0"/>
                  </pic:nvPicPr>
                  <pic:blipFill>
                    <a:blip r:embed="rId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2.799072265625" w:line="240"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4286.400146484375" w:right="1122.855224609375" w:header="0" w:footer="720"/>
          <w:cols w:equalWidth="0" w:num="2">
            <w:col w:space="0" w:w="3260"/>
            <w:col w:space="0" w:w="3260"/>
          </w:cols>
        </w:sect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15 </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397.6681709289551" w:lineRule="auto"/>
        <w:ind w:left="32.0159912109375" w:right="113.271484375" w:hanging="7.507171630859375"/>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estacionamento, além de outras, deve ser utilizada uma placa adicional ou incorporada à placa  principal, formando um só conjunto, na forma retangular, com as mesmas cores do sinal de  regulamentação.  </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260742187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12.1.2 Material de Confecção das Placas </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3803520202637" w:lineRule="auto"/>
        <w:ind w:left="15.676727294921875" w:right="112.87109375" w:firstLine="726.6880798339844"/>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Deverá ser utilizado material de chapa de aço galvanizado. As placas de sinalização  vertical de vias urbanas devem ser confeccionadas em chapas de aço, espessura mínima de  1,25 mm, revestidas com zinco pelo processo contínuo de imersão a quente, conforme Norma  NBR 7008-1 (2012), grau ZC, revestimento mínimo Z275. As placas deverão ser furadas antes  de receberem o tratamento. Após cortadas em duas dimensões finais e furadas, as chapas  deverão ter as bordas lixadas e deverão receber tratamento preliminar que compreenda  desengraxamento e decapagem. Devem, portanto, ser perfeitamente planas, lisas, sem  empolamento e isentas de rebarbas ou bordas cortantes, laminadas, resistentes à corrosão  atmosférica, devidamente tratadas, sem manchas e sem oxidação, prontas para receber o  revestimento com película refletiva ou pintura. O verso deve ser pintado em preto semifosco.  As placas devem obedecer às especificações técnicas em conformidade com a Norma ABNT  NBR-11904/2015 (Sinalização Vertical Viária – Placas de Aço Zincado), com os seguintes  requisitos conforme tabela abaixo: </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8.3367919921875" w:line="240" w:lineRule="auto"/>
        <w:ind w:left="18.115234375" w:right="0" w:firstLine="0"/>
        <w:jc w:val="left"/>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Tabela 1 - Requisitos para Material de Confecção das Placas </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933837890625" w:line="240" w:lineRule="auto"/>
        <w:ind w:left="4046.6514587402344"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REQUISITOS </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7398681640625" w:line="316.3919162750244" w:lineRule="auto"/>
        <w:ind w:left="124.11117553710938" w:right="756.419677734375" w:firstLine="0"/>
        <w:jc w:val="center"/>
        <w:rPr>
          <w:rFonts w:ascii="Arial" w:cs="Arial" w:eastAsia="Arial" w:hAnsi="Arial"/>
          <w:b w:val="1"/>
          <w:i w:val="0"/>
          <w:smallCaps w:val="0"/>
          <w:strike w:val="0"/>
          <w:color w:val="000000"/>
          <w:sz w:val="16.079999923706055"/>
          <w:szCs w:val="16.079999923706055"/>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PLACA MÍNIMO MÁXIMO NORMA TÉCNICA Espessura do revestimento 0,025 mm - ASTM D-1005 Brilho a 60º 40 50 ASTM D-523 Flexibilidade 8 e - NBR-10545 Aderência - Gr 1 BNR-11003 Resistência ao impacto 18 j - ASTM D-2794 Resistência à névoa salina 240 h - NBR-8094 Resistência à umidade 240 h - NBR-8095 Intemperismo artificial 300 h - ASTM G-153 </w:t>
      </w:r>
      <w:r w:rsidDel="00000000" w:rsidR="00000000" w:rsidRPr="00000000">
        <w:rPr>
          <w:rFonts w:ascii="Arial" w:cs="Arial" w:eastAsia="Arial" w:hAnsi="Arial"/>
          <w:b w:val="1"/>
          <w:i w:val="0"/>
          <w:smallCaps w:val="0"/>
          <w:strike w:val="0"/>
          <w:color w:val="000000"/>
          <w:sz w:val="16.079999923706055"/>
          <w:szCs w:val="16.079999923706055"/>
          <w:u w:val="none"/>
          <w:shd w:fill="auto" w:val="clear"/>
          <w:vertAlign w:val="baseline"/>
          <w:rtl w:val="0"/>
        </w:rPr>
        <w:t xml:space="preserve">FONTE: Especificações de Serviços Rodoviários (DER-PR, 2005)</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1"/>
          <w:i w:val="0"/>
          <w:smallCaps w:val="0"/>
          <w:strike w:val="0"/>
          <w:color w:val="000000"/>
          <w:sz w:val="16.079999923706055"/>
          <w:szCs w:val="16.079999923706055"/>
          <w:u w:val="none"/>
          <w:shd w:fill="auto" w:val="clear"/>
          <w:vertAlign w:val="baseline"/>
        </w:rPr>
      </w:pPr>
      <w:r w:rsidDel="00000000" w:rsidR="00000000" w:rsidRPr="00000000">
        <w:rPr>
          <w:rFonts w:ascii="Arial" w:cs="Arial" w:eastAsia="Arial" w:hAnsi="Arial"/>
          <w:b w:val="1"/>
          <w:i w:val="0"/>
          <w:smallCaps w:val="0"/>
          <w:strike w:val="0"/>
          <w:color w:val="000000"/>
          <w:sz w:val="16.079999923706055"/>
          <w:szCs w:val="16.079999923706055"/>
          <w:u w:val="none"/>
          <w:shd w:fill="auto" w:val="clear"/>
          <w:vertAlign w:val="baseline"/>
        </w:rPr>
        <w:drawing>
          <wp:inline distB="19050" distT="19050" distL="19050" distR="19050">
            <wp:extent cx="2093976" cy="781812"/>
            <wp:effectExtent b="0" l="0" r="0" t="0"/>
            <wp:docPr id="3"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16 </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12.1.3 Suporte das Placas </w:t>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75390625" w:line="397.6677703857422" w:lineRule="auto"/>
        <w:ind w:left="24.508819580078125" w:right="113.0517578125" w:firstLine="707.6992797851562"/>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suporte deve ser confeccionado em tubo de aço carbono SAE 1010/1020,  galvanizado a quente, grau C, de seção circular, com costuras e pontas lisas, em coluna simples  e em conformidade com a Norma ABNT NBR-8261/2010, podendo ser aceita também a Norma  DIN2440. Deve atender às seguintes dimensões: </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240" w:lineRule="auto"/>
        <w:ind w:left="733.532867431640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Diâmetro Interno: 2” </w:t>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2.12646484375" w:line="240" w:lineRule="auto"/>
        <w:ind w:left="733.532867431640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Espessura da Parede: 3,0 mm  </w:t>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7099609375" w:line="240" w:lineRule="auto"/>
        <w:ind w:left="733.5328674316406"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Noto Sans Symbols" w:cs="Noto Sans Symbols" w:eastAsia="Noto Sans Symbols" w:hAnsi="Noto Sans Symbols"/>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Diâmetro Externo: 60,3 mm  </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9.1259765625" w:line="397.6673984527588" w:lineRule="auto"/>
        <w:ind w:left="24.508819580078125" w:right="112.11303710937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galvanização deverá ser executada após as operações de furação e solda e deverá ser  executada nas partes internas e externas da peça, devendo as superfícies apresentarem uma  deposição mínima de zinco igual a 350 g/m², quando ensaiado conforme a Norma ABNT  NBR7397/2007. </w:t>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7.4080181121826" w:lineRule="auto"/>
        <w:ind w:left="16.559906005859375" w:right="111.60888671875" w:firstLine="767.9200744628906"/>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galvanização não deverá se separar do material de base quando submetido ao  ensaio de aderência pelo Método do Dobramento, conforme a Norma ABNT NBR-7398/2015.  A espessura de galvanização (revestimento de zinco) deverá ser, no mínimo, de 50 micra,  quando ensaiada conforme a Norma ABNT NBR-7399/2015. A galvanização deverá ser  uniforme, não devendo existir falhas de zincagem. As peças, quando ensaiadas conforme a  Norma ABNT NBR-7400/2015, deverão suportar no mínimo 6 (seis) imersões (Ensaio de Preece)  sem apresentar sinais de depósito de cobre e devem permanecer com a cor natural, ou seja,  não devem ser pintadas.  </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7108154296875" w:line="397.847957611084" w:lineRule="auto"/>
        <w:ind w:left="23.846435546875" w:right="112.39013671875" w:firstLine="700.633544921875"/>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extremidade superior do suporte deve ser fechada com peça de PVC específica para  essa vedação com 4 cm de altura (ver detalhe abaixo). Os suportes devem ser fixados de modo  a manter rigidamente as placas em sua posição permanente e apropriada, evitando que sejam  giradas ou deslocadas. </w:t>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3.1063842773437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12.1.4 Dispositivos de Fixação </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6235351562"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1687.9487609863281" w:right="952.80029296875" w:header="0" w:footer="720"/>
          <w:cols w:equalWidth="0" w:num="1">
            <w:col w:space="0" w:w="9259.250946044922"/>
          </w:cols>
        </w:sect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12.1.4.1 Longarinas e Abraçadeiras</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6"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2.799072265625" w:line="240"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4286.400146484375" w:right="1122.855224609375" w:header="0" w:footer="720"/>
          <w:cols w:equalWidth="0" w:num="2">
            <w:col w:space="0" w:w="3260"/>
            <w:col w:space="0" w:w="3260"/>
          </w:cols>
        </w:sect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17 </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397.66788482666016" w:lineRule="auto"/>
        <w:ind w:left="23.846435546875" w:right="111.466064453125" w:firstLine="718.5183715820312"/>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Deverão ser confeccionados em aço carbono SAE 1010/1020 galvanizado a quente,  após as operações de furação e solda. As especificações para a galvanização são as mesmas  apresentadas para o suporte. Essas peças não poderão apresentar trincas, fissuras, rebarbas ou  bordas cortantes e deverão ser limpas, isenta de terra, óleo, graxa, sais ou ferrugem. Toda  escória de solda, bem como respingos, deverão ser removidos e seguidos de escoamento. </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260742187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12.1.4.2 Porcas, parafusos e arruelas </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326904296875" w:line="396.5811252593994" w:lineRule="auto"/>
        <w:ind w:left="24.508819580078125" w:right="116.36352539062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As porcas, parafusos e arruelas (D=1/4”) deverão ser de aço galvanizado a fogo e  centrifugado. A figura a seguir apresenta o detalhe construtivo da fixação do suporte à placa  utilizando-se longarina, abraçadeira, parafusos, porcas e arruelas. </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4.47265625" w:line="205.87836742401123" w:lineRule="auto"/>
        <w:ind w:left="311.251220703125" w:right="473.599853515625" w:firstLine="0"/>
        <w:jc w:val="center"/>
        <w:rPr>
          <w:rFonts w:ascii="Arial" w:cs="Arial" w:eastAsia="Arial" w:hAnsi="Arial"/>
          <w:b w:val="0"/>
          <w:i w:val="0"/>
          <w:smallCaps w:val="0"/>
          <w:strike w:val="0"/>
          <w:color w:val="000000"/>
          <w:sz w:val="19.920000076293945"/>
          <w:szCs w:val="19.920000076293945"/>
          <w:u w:val="none"/>
          <w:shd w:fill="auto" w:val="clear"/>
          <w:vertAlign w:val="baseline"/>
        </w:rPr>
        <w:sectPr>
          <w:type w:val="continuous"/>
          <w:pgSz w:h="16820" w:w="11900" w:orient="portrait"/>
          <w:pgMar w:bottom="1918.0799865722656" w:top="120.001220703125" w:left="1687.9487609863281" w:right="952.80029296875" w:header="0" w:footer="720"/>
          <w:cols w:equalWidth="0" w:num="1">
            <w:col w:space="0" w:w="9259.250946044922"/>
          </w:cols>
        </w:sect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5381244" cy="3468624"/>
            <wp:effectExtent b="0" l="0" r="0" t="0"/>
            <wp:docPr id="7" name="image7.png"/>
            <a:graphic>
              <a:graphicData uri="http://schemas.openxmlformats.org/drawingml/2006/picture">
                <pic:pic>
                  <pic:nvPicPr>
                    <pic:cNvPr id="0" name="image7.png"/>
                    <pic:cNvPicPr preferRelativeResize="0"/>
                  </pic:nvPicPr>
                  <pic:blipFill>
                    <a:blip r:embed="rId11"/>
                    <a:srcRect b="0" l="0" r="0" t="0"/>
                    <a:stretch>
                      <a:fillRect/>
                    </a:stretch>
                  </pic:blipFill>
                  <pic:spPr>
                    <a:xfrm>
                      <a:off x="0" y="0"/>
                      <a:ext cx="5381244" cy="3468624"/>
                    </a:xfrm>
                    <a:prstGeom prst="rect"/>
                    <a:ln/>
                  </pic:spPr>
                </pic:pic>
              </a:graphicData>
            </a:graphic>
          </wp:inline>
        </w:drawing>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Figura 1 - Detalhe Fixação Placas</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Pr>
        <w:drawing>
          <wp:inline distB="19050" distT="19050" distL="19050" distR="19050">
            <wp:extent cx="2093976" cy="781812"/>
            <wp:effectExtent b="0" l="0" r="0" t="0"/>
            <wp:docPr id="4"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2.799072265625" w:line="240"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4286.400146484375" w:right="1122.855224609375" w:header="0" w:footer="720"/>
          <w:cols w:equalWidth="0" w:num="2">
            <w:col w:space="0" w:w="3260"/>
            <w:col w:space="0" w:w="3260"/>
          </w:cols>
        </w:sect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18 </w:t>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1.126708984375" w:line="206.45686626434326" w:lineRule="auto"/>
        <w:ind w:left="13.651275634765625" w:right="-6.400146484375"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Pr>
        <w:drawing>
          <wp:inline distB="19050" distT="19050" distL="19050" distR="19050">
            <wp:extent cx="5875020" cy="3235452"/>
            <wp:effectExtent b="0" l="0" r="0" t="0"/>
            <wp:docPr id="5"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5875020" cy="3235452"/>
                    </a:xfrm>
                    <a:prstGeom prst="rect"/>
                    <a:ln/>
                  </pic:spPr>
                </pic:pic>
              </a:graphicData>
            </a:graphic>
          </wp:inline>
        </w:drawing>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Figura 2 - Detalhe Fixação Placas de Identificação de Rua </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5.22277832031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12.1.4.3 Dispositivo Anti-Giro </w:t>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1260986328125" w:line="397.66648292541504" w:lineRule="auto"/>
        <w:ind w:left="24.508819580078125" w:right="111.397705078125" w:firstLine="717.8559875488281"/>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Na parte inferior do suporte, deverão ser soldadas 02 (duas) peças de 15 cm de ferro  chato 1/8” x 3/4”, no sentido transversal, distando de 100 a 300 mm da base (a ser imerso na  Fundação) (Figura a Seguir). Esse dispositivo tem a finalidade de propiciar à placa de sinalização  reação contrária às ações externas que tendem a fazer a placa girar sobre seu eixo vertical. </w:t>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3.2727050781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12.1.4.4 Fundação da Placa </w:t>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9287109375" w:line="397.9387950897217" w:lineRule="auto"/>
        <w:ind w:left="19.871978759765625" w:right="111.014404296875" w:firstLine="704.6080017089844"/>
        <w:jc w:val="both"/>
        <w:rPr>
          <w:rFonts w:ascii="Arial" w:cs="Arial" w:eastAsia="Arial" w:hAnsi="Arial"/>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1687.9487609863281" w:right="952.80029296875" w:header="0" w:footer="720"/>
          <w:cols w:equalWidth="0" w:num="1">
            <w:col w:space="0" w:w="9259.250946044922"/>
          </w:cols>
        </w:sect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Fundação da placa, fixação do suporte ao solo, deverá ser feita utilizando-se concreto  fck de 15 MPa e acabamento com argamassa de cimento e areia no traço em volume 1:3  (cimento, areia) ou compatível com o piso existente na calçada.</w:t>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10" name="image10.png"/>
            <a:graphic>
              <a:graphicData uri="http://schemas.openxmlformats.org/drawingml/2006/picture">
                <pic:pic>
                  <pic:nvPicPr>
                    <pic:cNvPr id="0" name="image10.png"/>
                    <pic:cNvPicPr preferRelativeResize="0"/>
                  </pic:nvPicPr>
                  <pic:blipFill>
                    <a:blip r:embed="rId14"/>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2.799072265625" w:line="240"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4286.400146484375" w:right="1122.855224609375" w:header="0" w:footer="720"/>
          <w:cols w:equalWidth="0" w:num="2">
            <w:col w:space="0" w:w="3260"/>
            <w:col w:space="0" w:w="3260"/>
          </w:cols>
        </w:sect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19 </w:t>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1.126708984375" w:line="206.43423557281494" w:lineRule="auto"/>
        <w:ind w:left="145.6512451171875" w:right="307.999267578125" w:firstLine="0"/>
        <w:jc w:val="center"/>
        <w:rPr>
          <w:rFonts w:ascii="Arial" w:cs="Arial" w:eastAsia="Arial" w:hAnsi="Arial"/>
          <w:b w:val="0"/>
          <w:i w:val="0"/>
          <w:smallCaps w:val="0"/>
          <w:strike w:val="0"/>
          <w:color w:val="000000"/>
          <w:sz w:val="19.920000076293945"/>
          <w:szCs w:val="19.92000007629394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Pr>
        <w:drawing>
          <wp:inline distB="19050" distT="19050" distL="19050" distR="19050">
            <wp:extent cx="5591557" cy="3153156"/>
            <wp:effectExtent b="0" l="0" r="0" t="0"/>
            <wp:docPr id="8" name="image8.png"/>
            <a:graphic>
              <a:graphicData uri="http://schemas.openxmlformats.org/drawingml/2006/picture">
                <pic:pic>
                  <pic:nvPicPr>
                    <pic:cNvPr id="0" name="image8.png"/>
                    <pic:cNvPicPr preferRelativeResize="0"/>
                  </pic:nvPicPr>
                  <pic:blipFill>
                    <a:blip r:embed="rId15"/>
                    <a:srcRect b="0" l="0" r="0" t="0"/>
                    <a:stretch>
                      <a:fillRect/>
                    </a:stretch>
                  </pic:blipFill>
                  <pic:spPr>
                    <a:xfrm>
                      <a:off x="0" y="0"/>
                      <a:ext cx="5591557" cy="3153156"/>
                    </a:xfrm>
                    <a:prstGeom prst="rect"/>
                    <a:ln/>
                  </pic:spPr>
                </pic:pic>
              </a:graphicData>
            </a:graphic>
          </wp:inline>
        </w:drawing>
      </w:r>
      <w:r w:rsidDel="00000000" w:rsidR="00000000" w:rsidRPr="00000000">
        <w:rPr>
          <w:rFonts w:ascii="Arial" w:cs="Arial" w:eastAsia="Arial" w:hAnsi="Arial"/>
          <w:b w:val="0"/>
          <w:i w:val="0"/>
          <w:smallCaps w:val="0"/>
          <w:strike w:val="0"/>
          <w:color w:val="000000"/>
          <w:sz w:val="19.920000076293945"/>
          <w:szCs w:val="19.920000076293945"/>
          <w:u w:val="none"/>
          <w:shd w:fill="auto" w:val="clear"/>
          <w:vertAlign w:val="baseline"/>
          <w:rtl w:val="0"/>
        </w:rPr>
        <w:t xml:space="preserve">Figura 3 - Detalhe do Dispositivo Anti-Giro e da Fundação </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9.221191406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12.1.4.5 Furação </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12548828125" w:line="397.3045349121094" w:lineRule="auto"/>
        <w:ind w:left="19.871978759765625" w:right="111.2060546875" w:firstLine="704.6080017089844"/>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furação de placas deve ser compatível com o tipo e as dimensões de cada placa, de  modo a se encaixar perfeitamente aos dispositivos de fixação e ao próprio suporte. No entanto,  a furação das longarinas e abraçadeiras seguem o padrão, partindo do eixo do suporte. Os  furos são de diâmetro necessário para parafusos D=1/4”. O processo de furação deve ser  anterior ao processo de galvanização, para que a galvanização não seja danificada pela furação  e também para que as paredes laterais do furo recebam a galvanização e não representem um  ponto frágil na peça.</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9" name="image9.png"/>
            <a:graphic>
              <a:graphicData uri="http://schemas.openxmlformats.org/drawingml/2006/picture">
                <pic:pic>
                  <pic:nvPicPr>
                    <pic:cNvPr id="0" name="image9.png"/>
                    <pic:cNvPicPr preferRelativeResize="0"/>
                  </pic:nvPicPr>
                  <pic:blipFill>
                    <a:blip r:embed="rId16"/>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20 </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11.126708984375" w:line="213.90058994293213" w:lineRule="auto"/>
        <w:ind w:left="38.639984130859375" w:right="691.99951171875" w:firstLine="491.0113525390625"/>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Pr>
        <w:drawing>
          <wp:inline distB="19050" distT="19050" distL="19050" distR="19050">
            <wp:extent cx="5103876" cy="5439156"/>
            <wp:effectExtent b="0" l="0" r="0" t="0"/>
            <wp:docPr id="13" name="image13.png"/>
            <a:graphic>
              <a:graphicData uri="http://schemas.openxmlformats.org/drawingml/2006/picture">
                <pic:pic>
                  <pic:nvPicPr>
                    <pic:cNvPr id="0" name="image13.png"/>
                    <pic:cNvPicPr preferRelativeResize="0"/>
                  </pic:nvPicPr>
                  <pic:blipFill>
                    <a:blip r:embed="rId17"/>
                    <a:srcRect b="0" l="0" r="0" t="0"/>
                    <a:stretch>
                      <a:fillRect/>
                    </a:stretch>
                  </pic:blipFill>
                  <pic:spPr>
                    <a:xfrm>
                      <a:off x="0" y="0"/>
                      <a:ext cx="5103876" cy="5439156"/>
                    </a:xfrm>
                    <a:prstGeom prst="rect"/>
                    <a:ln/>
                  </pic:spPr>
                </pic:pic>
              </a:graphicData>
            </a:graphic>
          </wp:inline>
        </w:drawing>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12.1.4.6 Altura da Placa de Fixação </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6.2322998046875" w:line="397.8483009338379" w:lineRule="auto"/>
        <w:ind w:left="24.508819580078125" w:right="113.489990234375" w:firstLine="707.6992797851562"/>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Manual Brasileiro de Sinalização de Trânsito especifica que as placas de sinalização  de vias urbanas devem estar entre 2,0 e 2,5 metros de altura em relação ao piso acabado. Para  efeitos de padronização, deverá ser fixada a altura de 2,1 metros entre o piso acabado e a  borda inferior da placa (altura padrão de uma porta residencial).</w: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14" name="image14.png"/>
            <a:graphic>
              <a:graphicData uri="http://schemas.openxmlformats.org/drawingml/2006/picture">
                <pic:pic>
                  <pic:nvPicPr>
                    <pic:cNvPr id="0" name="image14.png"/>
                    <pic:cNvPicPr preferRelativeResize="0"/>
                  </pic:nvPicPr>
                  <pic:blipFill>
                    <a:blip r:embed="rId18"/>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21 </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 SINALIZAÇÃO HORIZONTAL </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75390625" w:line="397.77623176574707" w:lineRule="auto"/>
        <w:ind w:left="19.871978759765625" w:right="112.122802734375" w:firstLine="704.6080017089844"/>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sinalização horizontal é um subsistema da sinalização viária composta de marcas,  símbolos e legendas, apostos sobre o pavimento da pista de rolamento. Tem por finalidade,  fornecer informações que permitam aos usuários das vias adotarem comportamentos  adequados, de modo a aumentar a segurança e fluidez do transito, ordenar o fluxo de trafego,  canalizar e orientar os usuários da via e transmitir mensagens aos condutores e pedestres,  possibilitando sua percepção e entendimento, sem desviar a atenção do leito da via.  </w:t>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373291015625" w:line="395.49407958984375" w:lineRule="auto"/>
        <w:ind w:left="34.444732666015625" w:right="116.5478515625" w:firstLine="697.7633666992188"/>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projeto prevê a execução de Marcas de Delimitação e Controle de Parada e,  Estacionamento, terceira faixa, linhas de bordo e eixo. </w:t>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7.672729492187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12.1.1 Especificações Técnicas </w:t>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57080078125" w:line="397.66648292541504" w:lineRule="auto"/>
        <w:ind w:left="24.508819580078125" w:right="115.443115234375" w:firstLine="699.9711608886719"/>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empresa contratada deverá seguir, rigorosamente, o projeto de sinalização viária,  quanto à execução de sinalização horizontal, de acordo com a Resolução CONTRAM. </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07299804687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12.1.2 Padrão de Cor </w:t>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416015625" w:line="397.66676902770996" w:lineRule="auto"/>
        <w:ind w:left="18.326416015625" w:right="111.168212890625" w:firstLine="706.153564453125"/>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As sinalizações horizontais, previstas no projeto, serão de cores: “branca” com  tonalidade (padrão Munsell) “N 9,5” e “amarela” com tonalidade (padrão Munsell) “10 YR  ,5/14”. </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260742187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12.1.3 Dimensões </w:t>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3262939453125" w:line="396.58069610595703" w:lineRule="auto"/>
        <w:ind w:left="24.508819580078125" w:right="115.70190429687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largura das linhas transversais e o dimensionamento dos símbolos e legendas são  definidos em função das características físicas da via, do tipo de linha e/ou da velocidade  regulamentada para a via.</w:t>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11" name="image11.png"/>
            <a:graphic>
              <a:graphicData uri="http://schemas.openxmlformats.org/drawingml/2006/picture">
                <pic:pic>
                  <pic:nvPicPr>
                    <pic:cNvPr id="0" name="image11.png"/>
                    <pic:cNvPicPr preferRelativeResize="0"/>
                  </pic:nvPicPr>
                  <pic:blipFill>
                    <a:blip r:embed="rId19"/>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22 </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12.1.4 Material </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75390625" w:line="397.6677703857422" w:lineRule="auto"/>
        <w:ind w:left="24.508819580078125" w:right="112.16064453125" w:firstLine="701.9584655761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Toda as pinturas de faixa contínuas e tracejadas (eixos e bordos), faixa de segurança  para pedestre, zebrados, demais marcas </w:t>
      </w: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serão em TINTA RETROREFLETIVA A BASE DE  RESINA ACRILICA COM MICRO ESFERAS DE VIDRO.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Estes materiais atendem as  especificações do Departamento Nacional de Estradas e Rodagem. </w:t>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2719726562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12.1.5 Consideração Complementares </w:t>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326416015625" w:line="397.66719818115234" w:lineRule="auto"/>
        <w:ind w:left="24.508819580078125" w:right="112.09106445312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execução dos serviços será manual, a cargo da empresa contratada. A superfície a ser  pintada deverá estar limpa e regularizada, com gabaritos e marcações (de acordo com o  projeto de sinalização viária), não sendo permitidos desalinhamentos ou incoerência nas  medidas. Serão recusadas sinalizações que estejam em desconformidade com o projeto,  cabível de correções a cargo da empresa contratada. </w:t>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260742187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13. LIMPEZA FINAL </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8.7261962890625" w:line="397.66648292541504" w:lineRule="auto"/>
        <w:ind w:left="24.508819580078125" w:right="112.611083984375" w:firstLine="699.9711608886719"/>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Ao termino da obra a empresa deverá fazer todas as limpezas necessárias, tanto de  entulhos, sujeiras, terra na pista, passeios ou sarjetas, toda e qualquer material que possa estar  sobre local da obra ou que a fiscalização solicitar para a retirada. </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3388671875" w:line="795.3329658508301" w:lineRule="auto"/>
        <w:ind w:left="37.09442138671875" w:right="815.52001953125" w:firstLine="692.9055786132812"/>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OBS: NÃO DEVERÃO HAVER ACÚMULOS DE SOLO OU SUJEIRAS NA PISTA. 14. LAUDOS E ENSAIOS LABORATORIAIS </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0.41961669921875"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14.1.1 Extração e parâmetros </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6235351562" w:line="396.91869735717773" w:lineRule="auto"/>
        <w:ind w:left="24.508819580078125" w:right="111.177978515625" w:firstLine="710.5696105957031"/>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Segundo a norma DNER-PRO 277/9713, a metodologia adotada pelo DNIT para o  controle estatístico de qualidade abrange o estabelecimento de um plano de amostragem, na  qual se pressupõe aleatoriedade no processo de coleta de amostras, além de definir alguns  conceitos e riscos, conforme segue (FERRI, 2013):</w:t>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12" name="image12.png"/>
            <a:graphic>
              <a:graphicData uri="http://schemas.openxmlformats.org/drawingml/2006/picture">
                <pic:pic>
                  <pic:nvPicPr>
                    <pic:cNvPr id="0" name="image12.png"/>
                    <pic:cNvPicPr preferRelativeResize="0"/>
                  </pic:nvPicPr>
                  <pic:blipFill>
                    <a:blip r:embed="rId20"/>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23 </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397.6677703857422" w:lineRule="auto"/>
        <w:ind w:left="739.7152709960938" w:right="1375.9918212890625"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α = risco do executante de ter rejeitado um serviço de boa qualidade; • β = risco do contratante de aceitar um serviço de má qualidade; • P1 = % de “defeitos” máxima admitida em um serviço de boa qualidade; • P2 = % de “defeitos” mínima admitida em um serviço de má qualidade. </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5.673828125" w:line="397.8486728668213" w:lineRule="auto"/>
        <w:ind w:left="24.508819580078125" w:right="110.965576171875" w:firstLine="717.8559875488281"/>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Na Tabela 01 da norma DNER-PRO 277/97, considerada neste trabalho, para os serviços  de pavimentação, a variável β e os valores de P1 e P2 tiveram seus valores fixados em 10%, 5%  e 25% respectivamente, adotados como referência no controle estatístico constante das  especificações de serviço pertinentes. </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90625" w:line="397.6673984527588" w:lineRule="auto"/>
        <w:ind w:left="15.676727294921875" w:right="111.292724609375" w:firstLine="726.6880798339844"/>
        <w:jc w:val="both"/>
        <w:rPr>
          <w:rFonts w:ascii="Cambria Math" w:cs="Cambria Math" w:eastAsia="Cambria Math" w:hAnsi="Cambria Math"/>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Em síntese, a qualidade do serviço executado é quantificada por meio do cálculo da  variável aleatória (</w:t>
      </w:r>
      <w:r w:rsidDel="00000000" w:rsidR="00000000" w:rsidRPr="00000000">
        <w:rPr>
          <w:rFonts w:ascii="Cambria Math" w:cs="Cambria Math" w:eastAsia="Cambria Math" w:hAnsi="Cambria Math"/>
          <w:b w:val="0"/>
          <w:i w:val="0"/>
          <w:smallCaps w:val="0"/>
          <w:strike w:val="0"/>
          <w:color w:val="000000"/>
          <w:sz w:val="22.079999923706055"/>
          <w:szCs w:val="22.079999923706055"/>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Cambria Math" w:cs="Cambria Math" w:eastAsia="Cambria Math" w:hAnsi="Cambria Math"/>
          <w:b w:val="0"/>
          <w:i w:val="0"/>
          <w:smallCaps w:val="0"/>
          <w:strike w:val="0"/>
          <w:color w:val="000000"/>
          <w:sz w:val="22.079999923706055"/>
          <w:szCs w:val="22.079999923706055"/>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 em que </w:t>
      </w:r>
      <w:r w:rsidDel="00000000" w:rsidR="00000000" w:rsidRPr="00000000">
        <w:rPr>
          <w:rFonts w:ascii="Cambria Math" w:cs="Cambria Math" w:eastAsia="Cambria Math" w:hAnsi="Cambria Math"/>
          <w:b w:val="0"/>
          <w:i w:val="0"/>
          <w:smallCaps w:val="0"/>
          <w:strike w:val="0"/>
          <w:color w:val="000000"/>
          <w:sz w:val="22.079999923706055"/>
          <w:szCs w:val="22.079999923706055"/>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̅é a média da amostra, </w:t>
      </w:r>
      <w:r w:rsidDel="00000000" w:rsidR="00000000" w:rsidRPr="00000000">
        <w:rPr>
          <w:rFonts w:ascii="Cambria Math" w:cs="Cambria Math" w:eastAsia="Cambria Math" w:hAnsi="Cambria Math"/>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é o desvio padrão e </w:t>
      </w:r>
      <w:r w:rsidDel="00000000" w:rsidR="00000000" w:rsidRPr="00000000">
        <w:rPr>
          <w:rFonts w:ascii="Cambria Math" w:cs="Cambria Math" w:eastAsia="Cambria Math" w:hAnsi="Cambria Math"/>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é o  coeficiente multiplicador do desvio padrão amostral. Convencionalmente para avaliação da  qualidade de serviços rodoviários, a norma DNER-PRO 277/97 estabelece os valores de </w:t>
      </w:r>
      <w:r w:rsidDel="00000000" w:rsidR="00000000" w:rsidRPr="00000000">
        <w:rPr>
          <w:rFonts w:ascii="Cambria Math" w:cs="Cambria Math" w:eastAsia="Cambria Math" w:hAnsi="Cambria Math"/>
          <w:b w:val="0"/>
          <w:i w:val="0"/>
          <w:smallCaps w:val="0"/>
          <w:strike w:val="0"/>
          <w:color w:val="000000"/>
          <w:sz w:val="22.079999923706055"/>
          <w:szCs w:val="22.079999923706055"/>
          <w:u w:val="none"/>
          <w:shd w:fill="auto" w:val="clear"/>
          <w:vertAlign w:val="baseline"/>
          <w:rtl w:val="0"/>
        </w:rPr>
        <w:t xml:space="preserve">�� </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783.5624313354492" w:lineRule="auto"/>
        <w:ind w:left="13.651275634765625" w:right="175.999755859375" w:firstLine="15.494232177734375"/>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(número de amostras) e </w:t>
      </w:r>
      <w:r w:rsidDel="00000000" w:rsidR="00000000" w:rsidRPr="00000000">
        <w:rPr>
          <w:rFonts w:ascii="Cambria Math" w:cs="Cambria Math" w:eastAsia="Cambria Math" w:hAnsi="Cambria Math"/>
          <w:b w:val="0"/>
          <w:i w:val="0"/>
          <w:smallCaps w:val="0"/>
          <w:strike w:val="0"/>
          <w:color w:val="000000"/>
          <w:sz w:val="22.079999923706055"/>
          <w:szCs w:val="22.079999923706055"/>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em função do risco do executante assumido, conforme a Tabela 1.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5759196" cy="1385316"/>
            <wp:effectExtent b="0" l="0" r="0" t="0"/>
            <wp:docPr id="16" name="image16.png"/>
            <a:graphic>
              <a:graphicData uri="http://schemas.openxmlformats.org/drawingml/2006/picture">
                <pic:pic>
                  <pic:nvPicPr>
                    <pic:cNvPr id="0" name="image16.png"/>
                    <pic:cNvPicPr preferRelativeResize="0"/>
                  </pic:nvPicPr>
                  <pic:blipFill>
                    <a:blip r:embed="rId21"/>
                    <a:srcRect b="0" l="0" r="0" t="0"/>
                    <a:stretch>
                      <a:fillRect/>
                    </a:stretch>
                  </pic:blipFill>
                  <pic:spPr>
                    <a:xfrm>
                      <a:off x="0" y="0"/>
                      <a:ext cx="5759196" cy="1385316"/>
                    </a:xfrm>
                    <a:prstGeom prst="rect"/>
                    <a:ln/>
                  </pic:spPr>
                </pic:pic>
              </a:graphicData>
            </a:graphic>
          </wp:inline>
        </w:drawing>
      </w:r>
      <w:r w:rsidDel="00000000" w:rsidR="00000000" w:rsidRPr="00000000">
        <w:rPr>
          <w:rtl w:val="0"/>
        </w:rPr>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9.2486572265625" w:line="397.8482151031494" w:lineRule="auto"/>
        <w:ind w:left="24.508819580078125" w:right="112.247314453125" w:firstLine="707.6992797851562"/>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Cabe destacar que o número de elementos da amostra deve ser representativo, com  quantidade suficiente para representar os serviços executados; entretanto, esse número não  deve ser excessivo, a fim de evitar o desperdício de recursos e inviabilizar as atividades do  controle externo. </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30645751953125" w:line="395.49407958984375" w:lineRule="auto"/>
        <w:ind w:left="28.483123779296875" w:right="111.397705078125" w:firstLine="694.6720886230469"/>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Assim, deve-se apresentar tabela com estaqueamento e referência dos corpos de  prova extraídos, bem como laudo fotográfico de cada extração. </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7.6719665527344" w:line="240" w:lineRule="auto"/>
        <w:ind w:left="38.6399841308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1687.9487609863281" w:right="952.80029296875" w:header="0" w:footer="720"/>
          <w:cols w:equalWidth="0" w:num="1">
            <w:col w:space="0" w:w="9259.250946044922"/>
          </w:cols>
        </w:sect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14.1.2 Ensaios</w:t>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17" name="image17.png"/>
            <a:graphic>
              <a:graphicData uri="http://schemas.openxmlformats.org/drawingml/2006/picture">
                <pic:pic>
                  <pic:nvPicPr>
                    <pic:cNvPr id="0" name="image17.png"/>
                    <pic:cNvPicPr preferRelativeResize="0"/>
                  </pic:nvPicPr>
                  <pic:blipFill>
                    <a:blip r:embed="rId22"/>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92.799072265625" w:line="240" w:lineRule="auto"/>
        <w:ind w:left="0" w:right="0" w:firstLine="0"/>
        <w:jc w:val="left"/>
        <w:rPr>
          <w:rFonts w:ascii="Calibri" w:cs="Calibri" w:eastAsia="Calibri" w:hAnsi="Calibri"/>
          <w:b w:val="0"/>
          <w:i w:val="0"/>
          <w:smallCaps w:val="0"/>
          <w:strike w:val="0"/>
          <w:color w:val="000000"/>
          <w:sz w:val="22.079999923706055"/>
          <w:szCs w:val="22.079999923706055"/>
          <w:u w:val="none"/>
          <w:shd w:fill="auto" w:val="clear"/>
          <w:vertAlign w:val="baseline"/>
        </w:rPr>
        <w:sectPr>
          <w:type w:val="continuous"/>
          <w:pgSz w:h="16820" w:w="11900" w:orient="portrait"/>
          <w:pgMar w:bottom="1918.0799865722656" w:top="120.001220703125" w:left="4286.400146484375" w:right="1122.855224609375" w:header="0" w:footer="720"/>
          <w:cols w:equalWidth="0" w:num="2">
            <w:col w:space="0" w:w="3260"/>
            <w:col w:space="0" w:w="3260"/>
          </w:cols>
        </w:sect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24 </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526611328125" w:line="397.6681709289551" w:lineRule="auto"/>
        <w:ind w:left="28.64654541015625" w:right="112.5732421875" w:firstLine="703.56155395507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Os revestimentos asfálticos devem obedecer a requisitos estabelecidos por norma para  atingirem o desempenho e a durabilidade previstos em projeto, os quais podem ser aferidos por meio dos ensaios laboratoriais. </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7.6681709289551" w:lineRule="auto"/>
        <w:ind w:left="28.64654541015625" w:right="111.86279296875" w:firstLine="703.56155395507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Os procedimentos e os ensaios adotados no presente trabalho, devem ter como base as normas consideradas, encontram-se listados na Tabela a seguir. Foram adotadas as normas  do DNIT como referencial, conforme estabelecido no projeto básico da obra.  </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8.2108211517334" w:lineRule="auto"/>
        <w:ind w:left="36.81610107421875" w:right="111.61865234375" w:firstLine="688.5472106933594"/>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Todos os ensaios devem ser executados por laboratório terceirizado </w:t>
      </w: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seguindo os  preceitos estabelecidos nas referidas normas técnicas e utilizando equipamentos devidamente  </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97412109375" w:line="240" w:lineRule="auto"/>
        <w:ind w:left="29.30892944335937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calibrados </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53.938140869140625" w:right="0" w:firstLine="0"/>
        <w:jc w:val="left"/>
        <w:rPr>
          <w:rFonts w:ascii="Garamond" w:cs="Garamond" w:eastAsia="Garamond" w:hAnsi="Garamond"/>
          <w:b w:val="0"/>
          <w:i w:val="0"/>
          <w:smallCaps w:val="0"/>
          <w:strike w:val="0"/>
          <w:color w:val="000000"/>
          <w:sz w:val="16.035301208496094"/>
          <w:szCs w:val="16.035301208496094"/>
          <w:u w:val="none"/>
          <w:shd w:fill="auto" w:val="clear"/>
          <w:vertAlign w:val="baseline"/>
        </w:rPr>
      </w:pPr>
      <w:r w:rsidDel="00000000" w:rsidR="00000000" w:rsidRPr="00000000">
        <w:rPr>
          <w:rFonts w:ascii="Garamond" w:cs="Garamond" w:eastAsia="Garamond" w:hAnsi="Garamond"/>
          <w:b w:val="0"/>
          <w:i w:val="0"/>
          <w:smallCaps w:val="0"/>
          <w:strike w:val="0"/>
          <w:color w:val="000000"/>
          <w:sz w:val="16.035301208496094"/>
          <w:szCs w:val="16.035301208496094"/>
          <w:u w:val="none"/>
          <w:shd w:fill="auto" w:val="clear"/>
          <w:vertAlign w:val="baseline"/>
          <w:rtl w:val="0"/>
        </w:rPr>
        <w:t xml:space="preserve">Relação de ensaios executados e normas técnicas consideradas </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50.91115951538086" w:lineRule="auto"/>
        <w:ind w:left="5922.5103759765625" w:right="1102.2906494140625" w:hanging="5857.879638671875"/>
        <w:jc w:val="left"/>
        <w:rPr>
          <w:rFonts w:ascii="Arial" w:cs="Arial" w:eastAsia="Arial" w:hAnsi="Arial"/>
          <w:b w:val="1"/>
          <w:i w:val="0"/>
          <w:smallCaps w:val="0"/>
          <w:strike w:val="0"/>
          <w:color w:val="000000"/>
          <w:sz w:val="18.495962142944336"/>
          <w:szCs w:val="18.495962142944336"/>
          <w:u w:val="none"/>
          <w:shd w:fill="auto" w:val="clear"/>
          <w:vertAlign w:val="baseline"/>
        </w:rPr>
        <w:sectPr>
          <w:type w:val="continuous"/>
          <w:pgSz w:h="16820" w:w="11900" w:orient="portrait"/>
          <w:pgMar w:bottom="1918.0799865722656" w:top="120.001220703125" w:left="1687.9487609863281" w:right="952.80029296875" w:header="0" w:footer="720"/>
          <w:cols w:equalWidth="0" w:num="1">
            <w:col w:space="0" w:w="9259.250946044922"/>
          </w:cols>
        </w:sectPr>
      </w:pPr>
      <w:r w:rsidDel="00000000" w:rsidR="00000000" w:rsidRPr="00000000">
        <w:rPr>
          <w:rFonts w:ascii="Arial" w:cs="Arial" w:eastAsia="Arial" w:hAnsi="Arial"/>
          <w:b w:val="1"/>
          <w:i w:val="0"/>
          <w:smallCaps w:val="0"/>
          <w:strike w:val="0"/>
          <w:color w:val="000000"/>
          <w:sz w:val="18.495962142944336"/>
          <w:szCs w:val="18.495962142944336"/>
          <w:u w:val="none"/>
          <w:shd w:fill="auto" w:val="clear"/>
          <w:vertAlign w:val="baseline"/>
          <w:rtl w:val="0"/>
        </w:rPr>
        <w:t xml:space="preserve">Parâmetro avaliado </w:t>
      </w:r>
      <w:r w:rsidDel="00000000" w:rsidR="00000000" w:rsidRPr="00000000">
        <w:rPr>
          <w:rFonts w:ascii="Arial" w:cs="Arial" w:eastAsia="Arial" w:hAnsi="Arial"/>
          <w:b w:val="1"/>
          <w:i w:val="0"/>
          <w:smallCaps w:val="0"/>
          <w:strike w:val="0"/>
          <w:color w:val="000000"/>
          <w:sz w:val="30.826603571573894"/>
          <w:szCs w:val="30.826603571573894"/>
          <w:u w:val="none"/>
          <w:shd w:fill="auto" w:val="clear"/>
          <w:vertAlign w:val="subscript"/>
          <w:rtl w:val="0"/>
        </w:rPr>
        <w:t xml:space="preserve">Quantidade </w:t>
      </w:r>
      <w:r w:rsidDel="00000000" w:rsidR="00000000" w:rsidRPr="00000000">
        <w:rPr>
          <w:rFonts w:ascii="Arial" w:cs="Arial" w:eastAsia="Arial" w:hAnsi="Arial"/>
          <w:b w:val="1"/>
          <w:i w:val="0"/>
          <w:smallCaps w:val="0"/>
          <w:strike w:val="0"/>
          <w:color w:val="000000"/>
          <w:sz w:val="18.495962142944336"/>
          <w:szCs w:val="18.495962142944336"/>
          <w:u w:val="none"/>
          <w:shd w:fill="auto" w:val="clear"/>
          <w:vertAlign w:val="baseline"/>
          <w:rtl w:val="0"/>
        </w:rPr>
        <w:t xml:space="preserve">Normas e procedimentos  considerados </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Espessura da camada de revestimento </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0035400390625" w:line="394.5343208312988"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4 medidas por  C P </w:t>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4.091854095459"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DNIT 031/2006 – Pavimentos Flexíveis –  Concreto asfáltico – Especificação de  serviço. </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sectPr>
          <w:type w:val="continuous"/>
          <w:pgSz w:h="16820" w:w="11900" w:orient="portrait"/>
          <w:pgMar w:bottom="1918.0799865722656" w:top="120.001220703125" w:left="1742.9588317871094" w:right="1224.818115234375" w:header="0" w:footer="720"/>
          <w:cols w:equalWidth="0" w:num="3">
            <w:col w:space="0" w:w="2980"/>
            <w:col w:space="0" w:w="2980"/>
            <w:col w:space="0" w:w="2980"/>
          </w:cols>
        </w:sect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DNIT 428/2022 – Pavimentação –  </w:t>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81.72741889953613"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Densidade relativa aparente e massa específica aparente 1 ensaio por CP Densidade relativa máxima medida e massa específica máxima  </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4.06089782714844"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Misturas asfálticas – Determinação da  densidade relativa aparente e da massa  específica aparente de corpos de prova  compactados – Método de ensaio. </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4.073429107666"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sectPr>
          <w:type w:val="continuous"/>
          <w:pgSz w:h="16820" w:w="11900" w:orient="portrait"/>
          <w:pgMar w:bottom="1918.0799865722656" w:top="120.001220703125" w:left="1740.5537414550781" w:right="1485.48828125" w:header="0" w:footer="720"/>
          <w:cols w:equalWidth="0" w:num="2">
            <w:col w:space="0" w:w="4340"/>
            <w:col w:space="0" w:w="4340"/>
          </w:cols>
        </w:sect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DNIT 427/2020 – Pavimentação –  Misturas asfálticas – Determinação da  </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medida </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3.0035400390625" w:line="240"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3 ensaios </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44.06341552734375"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densidade relativa máxima medida e da  massa específica máxima medida em  amostras não compactadas – Método de  ensaio. </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sectPr>
          <w:type w:val="continuous"/>
          <w:pgSz w:h="16820" w:w="11900" w:orient="portrait"/>
          <w:pgMar w:bottom="1918.0799865722656" w:top="120.001220703125" w:left="1741.8487548828125" w:right="1337.6708984375" w:header="0" w:footer="720"/>
          <w:cols w:equalWidth="0" w:num="3">
            <w:col w:space="0" w:w="2960"/>
            <w:col w:space="0" w:w="2960"/>
            <w:col w:space="0" w:w="2960"/>
          </w:cols>
        </w:sect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NORMA DNIT 136/2018 – ME -  </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Resistência à tração 10 CPs </w:t>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Pavimentação asfáltica – Misturas asfálticas  </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3.82272720336914" w:lineRule="auto"/>
        <w:ind w:left="0" w:right="0" w:firstLine="0"/>
        <w:jc w:val="left"/>
        <w:rPr>
          <w:rFonts w:ascii="Garamond" w:cs="Garamond" w:eastAsia="Garamond" w:hAnsi="Garamond"/>
          <w:b w:val="0"/>
          <w:i w:val="0"/>
          <w:smallCaps w:val="0"/>
          <w:strike w:val="0"/>
          <w:color w:val="000000"/>
          <w:sz w:val="18.495962142944336"/>
          <w:szCs w:val="18.495962142944336"/>
          <w:u w:val="none"/>
          <w:shd w:fill="auto" w:val="clear"/>
          <w:vertAlign w:val="baseline"/>
        </w:rPr>
        <w:sectPr>
          <w:type w:val="continuous"/>
          <w:pgSz w:h="16820" w:w="11900" w:orient="portrait"/>
          <w:pgMar w:bottom="1918.0799865722656" w:top="120.001220703125" w:left="1742.4038696289062" w:right="1226.112060546875" w:header="0" w:footer="720"/>
          <w:cols w:equalWidth="0" w:num="2">
            <w:col w:space="0" w:w="4480"/>
            <w:col w:space="0" w:w="4480"/>
          </w:cols>
        </w:sectPr>
      </w:pPr>
      <w:r w:rsidDel="00000000" w:rsidR="00000000" w:rsidRPr="00000000">
        <w:rPr>
          <w:rFonts w:ascii="Garamond" w:cs="Garamond" w:eastAsia="Garamond" w:hAnsi="Garamond"/>
          <w:b w:val="0"/>
          <w:i w:val="0"/>
          <w:smallCaps w:val="0"/>
          <w:strike w:val="0"/>
          <w:color w:val="000000"/>
          <w:sz w:val="18.495962142944336"/>
          <w:szCs w:val="18.495962142944336"/>
          <w:u w:val="none"/>
          <w:shd w:fill="auto" w:val="clear"/>
          <w:vertAlign w:val="baseline"/>
          <w:rtl w:val="0"/>
        </w:rPr>
        <w:t xml:space="preserve">– Determinação da resistência à tração por  compressão diametral – Método de ensaio</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2.4032592773438" w:line="204.7033166885376" w:lineRule="auto"/>
        <w:ind w:left="23.846435546875" w:right="111.484375" w:firstLine="718.5183715820312"/>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Pavimentos flexíveis – Concreto Asfáltico - Especificação de Serviço, norma de  asfáltico convencional, aplicável à obra em tela. </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referência para o controle de produção e verificação do revestimento executado em concreto  </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15" name="image15.png"/>
            <a:graphic>
              <a:graphicData uri="http://schemas.openxmlformats.org/drawingml/2006/picture">
                <pic:pic>
                  <pic:nvPicPr>
                    <pic:cNvPr id="0" name="image15.png"/>
                    <pic:cNvPicPr preferRelativeResize="0"/>
                  </pic:nvPicPr>
                  <pic:blipFill>
                    <a:blip r:embed="rId23"/>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25 </w:t>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2.86590576171875" w:right="0" w:firstLine="0"/>
        <w:jc w:val="left"/>
        <w:rPr>
          <w:rFonts w:ascii="Garamond" w:cs="Garamond" w:eastAsia="Garamond" w:hAnsi="Garamond"/>
          <w:b w:val="0"/>
          <w:i w:val="0"/>
          <w:smallCaps w:val="0"/>
          <w:strike w:val="0"/>
          <w:color w:val="000000"/>
          <w:sz w:val="22.5595760345459"/>
          <w:szCs w:val="22.5595760345459"/>
          <w:u w:val="none"/>
          <w:shd w:fill="auto" w:val="clear"/>
          <w:vertAlign w:val="baseline"/>
        </w:rPr>
      </w:pPr>
      <w:r w:rsidDel="00000000" w:rsidR="00000000" w:rsidRPr="00000000">
        <w:rPr>
          <w:rFonts w:ascii="Garamond" w:cs="Garamond" w:eastAsia="Garamond" w:hAnsi="Garamond"/>
          <w:b w:val="0"/>
          <w:i w:val="0"/>
          <w:smallCaps w:val="0"/>
          <w:strike w:val="0"/>
          <w:color w:val="000000"/>
          <w:sz w:val="22.5595760345459"/>
          <w:szCs w:val="22.5595760345459"/>
          <w:u w:val="none"/>
          <w:shd w:fill="auto" w:val="clear"/>
          <w:vertAlign w:val="baseline"/>
          <w:rtl w:val="0"/>
        </w:rPr>
        <w:t xml:space="preserve">Parâmetros de qualidade avaliados </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2.287445068359375" w:right="0" w:firstLine="0"/>
        <w:jc w:val="left"/>
        <w:rPr>
          <w:rFonts w:ascii="Garamond" w:cs="Garamond" w:eastAsia="Garamond" w:hAnsi="Garamond"/>
          <w:b w:val="0"/>
          <w:i w:val="0"/>
          <w:smallCaps w:val="0"/>
          <w:strike w:val="0"/>
          <w:color w:val="000000"/>
          <w:sz w:val="19.521751403808594"/>
          <w:szCs w:val="19.521751403808594"/>
          <w:u w:val="none"/>
          <w:shd w:fill="auto" w:val="clear"/>
          <w:vertAlign w:val="baseline"/>
        </w:rPr>
      </w:pPr>
      <w:r w:rsidDel="00000000" w:rsidR="00000000" w:rsidRPr="00000000">
        <w:rPr>
          <w:rFonts w:ascii="Garamond" w:cs="Garamond" w:eastAsia="Garamond" w:hAnsi="Garamond"/>
          <w:b w:val="0"/>
          <w:i w:val="0"/>
          <w:smallCaps w:val="0"/>
          <w:strike w:val="0"/>
          <w:color w:val="000000"/>
          <w:sz w:val="19.521751403808594"/>
          <w:szCs w:val="19.521751403808594"/>
          <w:u w:val="none"/>
          <w:shd w:fill="auto" w:val="clear"/>
          <w:vertAlign w:val="baseline"/>
          <w:rtl w:val="0"/>
        </w:rPr>
        <w:t xml:space="preserve">Parâmetro avaliado Norma considerada Critério normativo </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27.17559814453125" w:lineRule="auto"/>
        <w:ind w:left="63.265838623046875" w:right="1281.751708984375" w:firstLine="0"/>
        <w:jc w:val="center"/>
        <w:rPr>
          <w:rFonts w:ascii="Garamond" w:cs="Garamond" w:eastAsia="Garamond" w:hAnsi="Garamond"/>
          <w:b w:val="0"/>
          <w:i w:val="0"/>
          <w:smallCaps w:val="0"/>
          <w:strike w:val="0"/>
          <w:color w:val="000000"/>
          <w:sz w:val="19.521751403808594"/>
          <w:szCs w:val="19.521751403808594"/>
          <w:u w:val="none"/>
          <w:shd w:fill="auto" w:val="clear"/>
          <w:vertAlign w:val="baseline"/>
        </w:rPr>
      </w:pPr>
      <w:r w:rsidDel="00000000" w:rsidR="00000000" w:rsidRPr="00000000">
        <w:rPr>
          <w:rFonts w:ascii="Garamond" w:cs="Garamond" w:eastAsia="Garamond" w:hAnsi="Garamond"/>
          <w:b w:val="0"/>
          <w:i w:val="0"/>
          <w:smallCaps w:val="0"/>
          <w:strike w:val="0"/>
          <w:color w:val="000000"/>
          <w:sz w:val="32.53625233968099"/>
          <w:szCs w:val="32.53625233968099"/>
          <w:u w:val="none"/>
          <w:shd w:fill="auto" w:val="clear"/>
          <w:vertAlign w:val="subscript"/>
          <w:rtl w:val="0"/>
        </w:rPr>
        <w:t xml:space="preserve">Espessura DNIT 031/2006 </w:t>
      </w:r>
      <w:r w:rsidDel="00000000" w:rsidR="00000000" w:rsidRPr="00000000">
        <w:rPr>
          <w:rFonts w:ascii="Garamond" w:cs="Garamond" w:eastAsia="Garamond" w:hAnsi="Garamond"/>
          <w:b w:val="0"/>
          <w:i w:val="0"/>
          <w:smallCaps w:val="0"/>
          <w:strike w:val="0"/>
          <w:color w:val="000000"/>
          <w:sz w:val="19.521751403808594"/>
          <w:szCs w:val="19.521751403808594"/>
          <w:u w:val="none"/>
          <w:shd w:fill="auto" w:val="clear"/>
          <w:vertAlign w:val="baseline"/>
          <w:rtl w:val="0"/>
        </w:rPr>
        <w:t xml:space="preserve">Admite-se a variação de ± 5%, em relação às  espessuras de projeto </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7.57003784179688" w:right="0" w:firstLine="0"/>
        <w:jc w:val="left"/>
        <w:rPr>
          <w:rFonts w:ascii="Garamond" w:cs="Garamond" w:eastAsia="Garamond" w:hAnsi="Garamond"/>
          <w:b w:val="0"/>
          <w:i w:val="0"/>
          <w:smallCaps w:val="0"/>
          <w:strike w:val="0"/>
          <w:color w:val="000000"/>
          <w:sz w:val="19.521751403808594"/>
          <w:szCs w:val="19.521751403808594"/>
          <w:u w:val="none"/>
          <w:shd w:fill="auto" w:val="clear"/>
          <w:vertAlign w:val="baseline"/>
        </w:rPr>
        <w:sectPr>
          <w:type w:val="continuous"/>
          <w:pgSz w:h="16820" w:w="11900" w:orient="portrait"/>
          <w:pgMar w:bottom="1918.0799865722656" w:top="120.001220703125" w:left="1687.9487609863281" w:right="952.80029296875" w:header="0" w:footer="720"/>
          <w:cols w:equalWidth="0" w:num="1">
            <w:col w:space="0" w:w="9259.250946044922"/>
          </w:cols>
        </w:sectPr>
      </w:pPr>
      <w:r w:rsidDel="00000000" w:rsidR="00000000" w:rsidRPr="00000000">
        <w:rPr>
          <w:rFonts w:ascii="Garamond" w:cs="Garamond" w:eastAsia="Garamond" w:hAnsi="Garamond"/>
          <w:b w:val="0"/>
          <w:i w:val="0"/>
          <w:smallCaps w:val="0"/>
          <w:strike w:val="0"/>
          <w:color w:val="000000"/>
          <w:sz w:val="32.53625233968099"/>
          <w:szCs w:val="32.53625233968099"/>
          <w:u w:val="none"/>
          <w:shd w:fill="auto" w:val="clear"/>
          <w:vertAlign w:val="subscript"/>
          <w:rtl w:val="0"/>
        </w:rPr>
        <w:t xml:space="preserve">Grau de compactação DNIT 031/2006 </w:t>
      </w:r>
      <w:r w:rsidDel="00000000" w:rsidR="00000000" w:rsidRPr="00000000">
        <w:rPr>
          <w:rFonts w:ascii="Garamond" w:cs="Garamond" w:eastAsia="Garamond" w:hAnsi="Garamond"/>
          <w:b w:val="0"/>
          <w:i w:val="0"/>
          <w:smallCaps w:val="0"/>
          <w:strike w:val="0"/>
          <w:color w:val="000000"/>
          <w:sz w:val="19.521751403808594"/>
          <w:szCs w:val="19.521751403808594"/>
          <w:u w:val="none"/>
          <w:shd w:fill="auto" w:val="clear"/>
          <w:vertAlign w:val="baseline"/>
          <w:rtl w:val="0"/>
        </w:rPr>
        <w:t xml:space="preserve">Superior a 97% e inferior a 101%, em relação à  </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9.521751403808594"/>
          <w:szCs w:val="19.521751403808594"/>
          <w:u w:val="none"/>
          <w:shd w:fill="auto" w:val="clear"/>
          <w:vertAlign w:val="baseline"/>
        </w:rPr>
      </w:pPr>
      <w:r w:rsidDel="00000000" w:rsidR="00000000" w:rsidRPr="00000000">
        <w:rPr>
          <w:rFonts w:ascii="Garamond" w:cs="Garamond" w:eastAsia="Garamond" w:hAnsi="Garamond"/>
          <w:b w:val="0"/>
          <w:i w:val="0"/>
          <w:smallCaps w:val="0"/>
          <w:strike w:val="0"/>
          <w:color w:val="000000"/>
          <w:sz w:val="19.521751403808594"/>
          <w:szCs w:val="19.521751403808594"/>
          <w:u w:val="none"/>
          <w:shd w:fill="auto" w:val="clear"/>
          <w:vertAlign w:val="baseline"/>
          <w:rtl w:val="0"/>
        </w:rPr>
        <w:t xml:space="preserve">Resistência à Tração por Compressão  </w:t>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Garamond" w:cs="Garamond" w:eastAsia="Garamond" w:hAnsi="Garamond"/>
          <w:b w:val="0"/>
          <w:i w:val="0"/>
          <w:smallCaps w:val="0"/>
          <w:strike w:val="0"/>
          <w:color w:val="000000"/>
          <w:sz w:val="19.521751403808594"/>
          <w:szCs w:val="19.521751403808594"/>
          <w:u w:val="none"/>
          <w:shd w:fill="auto" w:val="clear"/>
          <w:vertAlign w:val="baseline"/>
        </w:rPr>
        <w:sectPr>
          <w:type w:val="continuous"/>
          <w:pgSz w:h="16820" w:w="11900" w:orient="portrait"/>
          <w:pgMar w:bottom="1918.0799865722656" w:top="120.001220703125" w:left="1750.6275939941406" w:right="2026.5240478515625" w:header="0" w:footer="720"/>
          <w:cols w:equalWidth="0" w:num="2">
            <w:col w:space="0" w:w="4080"/>
            <w:col w:space="0" w:w="4080"/>
          </w:cols>
        </w:sectPr>
      </w:pPr>
      <w:r w:rsidDel="00000000" w:rsidR="00000000" w:rsidRPr="00000000">
        <w:rPr>
          <w:rFonts w:ascii="Garamond" w:cs="Garamond" w:eastAsia="Garamond" w:hAnsi="Garamond"/>
          <w:b w:val="0"/>
          <w:i w:val="0"/>
          <w:smallCaps w:val="0"/>
          <w:strike w:val="0"/>
          <w:color w:val="000000"/>
          <w:sz w:val="19.521751403808594"/>
          <w:szCs w:val="19.521751403808594"/>
          <w:u w:val="none"/>
          <w:shd w:fill="auto" w:val="clear"/>
          <w:vertAlign w:val="baseline"/>
          <w:rtl w:val="0"/>
        </w:rPr>
        <w:t xml:space="preserve">massa específica aparente do projeto da mistura </w:t>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218505859375" w:line="240" w:lineRule="auto"/>
        <w:ind w:left="60.72235107421875" w:right="0" w:firstLine="0"/>
        <w:jc w:val="left"/>
        <w:rPr>
          <w:rFonts w:ascii="Garamond" w:cs="Garamond" w:eastAsia="Garamond" w:hAnsi="Garamond"/>
          <w:b w:val="0"/>
          <w:i w:val="0"/>
          <w:smallCaps w:val="0"/>
          <w:strike w:val="0"/>
          <w:color w:val="000000"/>
          <w:sz w:val="19.521751403808594"/>
          <w:szCs w:val="19.521751403808594"/>
          <w:u w:val="none"/>
          <w:shd w:fill="auto" w:val="clear"/>
          <w:vertAlign w:val="baseline"/>
        </w:rPr>
      </w:pPr>
      <w:r w:rsidDel="00000000" w:rsidR="00000000" w:rsidRPr="00000000">
        <w:rPr>
          <w:rFonts w:ascii="Garamond" w:cs="Garamond" w:eastAsia="Garamond" w:hAnsi="Garamond"/>
          <w:b w:val="0"/>
          <w:i w:val="0"/>
          <w:smallCaps w:val="0"/>
          <w:strike w:val="0"/>
          <w:color w:val="000000"/>
          <w:sz w:val="32.53625233968099"/>
          <w:szCs w:val="32.53625233968099"/>
          <w:u w:val="none"/>
          <w:shd w:fill="auto" w:val="clear"/>
          <w:vertAlign w:val="subscript"/>
          <w:rtl w:val="0"/>
        </w:rPr>
        <w:t xml:space="preserve">Diametral estática a 25ºC </w:t>
      </w:r>
      <w:r w:rsidDel="00000000" w:rsidR="00000000" w:rsidRPr="00000000">
        <w:rPr>
          <w:rFonts w:ascii="Garamond" w:cs="Garamond" w:eastAsia="Garamond" w:hAnsi="Garamond"/>
          <w:b w:val="0"/>
          <w:i w:val="0"/>
          <w:smallCaps w:val="0"/>
          <w:strike w:val="0"/>
          <w:color w:val="000000"/>
          <w:sz w:val="19.521751403808594"/>
          <w:szCs w:val="19.521751403808594"/>
          <w:u w:val="none"/>
          <w:shd w:fill="auto" w:val="clear"/>
          <w:vertAlign w:val="baseline"/>
          <w:rtl w:val="0"/>
        </w:rPr>
        <w:t xml:space="preserve">DNIT 031/2006 Resistência mínima: 0,65 MPa</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01.3818359375" w:line="240" w:lineRule="auto"/>
        <w:ind w:left="34.444732666015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Resultados </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1.32568359375" w:line="397.6670551300049" w:lineRule="auto"/>
        <w:ind w:left="31.708831787109375" w:right="112.46826171875" w:firstLine="692.7711486816406"/>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A Tabela a seguir apresenta os valores de referência estabelecidos em projeto e os  critérios e intervalos aceitáveis, conforme as normas DNIT 031/2006 e DNER-PRO 277/97. </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60.2740478515625" w:line="240" w:lineRule="auto"/>
        <w:ind w:left="13.651275634765625"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Pr>
        <w:drawing>
          <wp:inline distB="19050" distT="19050" distL="19050" distR="19050">
            <wp:extent cx="5759196" cy="2953512"/>
            <wp:effectExtent b="0" l="0" r="0" t="0"/>
            <wp:docPr id="1" name="image1.png"/>
            <a:graphic>
              <a:graphicData uri="http://schemas.openxmlformats.org/drawingml/2006/picture">
                <pic:pic>
                  <pic:nvPicPr>
                    <pic:cNvPr id="0" name="image1.png"/>
                    <pic:cNvPicPr preferRelativeResize="0"/>
                  </pic:nvPicPr>
                  <pic:blipFill>
                    <a:blip r:embed="rId24"/>
                    <a:srcRect b="0" l="0" r="0" t="0"/>
                    <a:stretch>
                      <a:fillRect/>
                    </a:stretch>
                  </pic:blipFill>
                  <pic:spPr>
                    <a:xfrm>
                      <a:off x="0" y="0"/>
                      <a:ext cx="5759196" cy="2953512"/>
                    </a:xfrm>
                    <a:prstGeom prst="rect"/>
                    <a:ln/>
                  </pic:spPr>
                </pic:pic>
              </a:graphicData>
            </a:graphic>
          </wp:inline>
        </w:drawing>
      </w:r>
      <w:r w:rsidDel="00000000" w:rsidR="00000000" w:rsidRPr="00000000">
        <w:rPr>
          <w:rtl w:val="0"/>
        </w:rPr>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97.6670551300049" w:lineRule="auto"/>
        <w:ind w:left="14.57275390625" w:right="113.062744140625" w:firstLine="708.5824584960938"/>
        <w:jc w:val="both"/>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A empresa executora deverá apresentar os laudos e ensaios acima citados,  munidos de ART e laudos fotográficos, proveniente de empresa terceirizada, sem  vínculos. </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4.07318115234375" w:line="240" w:lineRule="auto"/>
        <w:ind w:left="0" w:right="117.655029296875" w:firstLine="0"/>
        <w:jc w:val="righ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A apresentação desse material é condicionante ao pagamento dos serviços de  </w:t>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1.5264892578125" w:line="314.9681854248047" w:lineRule="auto"/>
        <w:ind w:left="18.988800048828125" w:right="118.797607421875" w:firstLine="9.49432373046875"/>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pavimentação, ficando os repasses bloqueados até a apresentação e aceite pela  fiscalização. </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98.451385498047"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Pr>
        <w:drawing>
          <wp:inline distB="19050" distT="19050" distL="19050" distR="19050">
            <wp:extent cx="2093976" cy="781812"/>
            <wp:effectExtent b="0" l="0" r="0" t="0"/>
            <wp:docPr id="2" name="image2.png"/>
            <a:graphic>
              <a:graphicData uri="http://schemas.openxmlformats.org/drawingml/2006/picture">
                <pic:pic>
                  <pic:nvPicPr>
                    <pic:cNvPr id="0" name="image2.png"/>
                    <pic:cNvPicPr preferRelativeResize="0"/>
                  </pic:nvPicPr>
                  <pic:blipFill>
                    <a:blip r:embed="rId25"/>
                    <a:srcRect b="0" l="0" r="0" t="0"/>
                    <a:stretch>
                      <a:fillRect/>
                    </a:stretch>
                  </pic:blipFill>
                  <pic:spPr>
                    <a:xfrm>
                      <a:off x="0" y="0"/>
                      <a:ext cx="2093976" cy="781812"/>
                    </a:xfrm>
                    <a:prstGeom prst="rect"/>
                    <a:ln/>
                  </pic:spPr>
                </pic:pic>
              </a:graphicData>
            </a:graphic>
          </wp:inline>
        </w:drawing>
      </w:r>
      <w:r w:rsidDel="00000000" w:rsidR="00000000" w:rsidRPr="00000000">
        <w:rPr>
          <w:rtl w:val="0"/>
        </w:rPr>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0.054931640625" w:firstLine="0"/>
        <w:jc w:val="right"/>
        <w:rPr>
          <w:rFonts w:ascii="Calibri" w:cs="Calibri" w:eastAsia="Calibri" w:hAnsi="Calibri"/>
          <w:b w:val="0"/>
          <w:i w:val="0"/>
          <w:smallCaps w:val="0"/>
          <w:strike w:val="0"/>
          <w:color w:val="000000"/>
          <w:sz w:val="22.079999923706055"/>
          <w:szCs w:val="22.079999923706055"/>
          <w:u w:val="none"/>
          <w:shd w:fill="auto" w:val="clear"/>
          <w:vertAlign w:val="baseline"/>
        </w:rPr>
      </w:pPr>
      <w:r w:rsidDel="00000000" w:rsidR="00000000" w:rsidRPr="00000000">
        <w:rPr>
          <w:rFonts w:ascii="Calibri" w:cs="Calibri" w:eastAsia="Calibri" w:hAnsi="Calibri"/>
          <w:b w:val="0"/>
          <w:i w:val="0"/>
          <w:smallCaps w:val="0"/>
          <w:strike w:val="0"/>
          <w:color w:val="000000"/>
          <w:sz w:val="22.079999923706055"/>
          <w:szCs w:val="22.079999923706055"/>
          <w:u w:val="none"/>
          <w:shd w:fill="auto" w:val="clear"/>
          <w:vertAlign w:val="baseline"/>
          <w:rtl w:val="0"/>
        </w:rPr>
        <w:t xml:space="preserve">26 </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1.927490234375" w:line="240" w:lineRule="auto"/>
        <w:ind w:left="37.09442138671875" w:right="0" w:firstLine="0"/>
        <w:jc w:val="left"/>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15. CONSIDERAÇÕES FINAIS </w:t>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726318359375" w:line="397.6681709289551" w:lineRule="auto"/>
        <w:ind w:left="24.508819580078125" w:right="113.71337890625" w:firstLine="717.8559875488281"/>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É sempre conveniente que seja realizada uma visita ao local da obra para tomar  conhecimento da extensão dos serviços. </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7.9394817352295" w:lineRule="auto"/>
        <w:ind w:left="24.508819580078125" w:right="111.397705078125" w:firstLine="710.5696105957031"/>
        <w:jc w:val="both"/>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Sugestões de alterações devem ser feitas ao autor do projeto e à fiscalização, obtendo  deles a autorização para o pretendido, sob pena de ser exigido o serviço como inicialmente  previsto, sem que nenhum ônus seja debitado ao Contratante. </w:t>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822021484375" w:line="397.6681709289551" w:lineRule="auto"/>
        <w:ind w:left="34.444732666015625" w:right="113.6767578125" w:firstLine="697.7633666992188"/>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O diário de obra deverá ser feito conforme modelo fornecido pela prefeitura municipal.  Deverá ser mantido na obra e preenchido diariamente. </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47216796875" w:line="397.66648292541504" w:lineRule="auto"/>
        <w:ind w:left="21.196746826171875" w:right="110.76416015625" w:firstLine="701.9584655761719"/>
        <w:jc w:val="both"/>
        <w:rPr>
          <w:rFonts w:ascii="Arial" w:cs="Arial" w:eastAsia="Arial" w:hAnsi="Arial"/>
          <w:b w:val="1"/>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1"/>
          <w:i w:val="0"/>
          <w:smallCaps w:val="0"/>
          <w:strike w:val="0"/>
          <w:color w:val="000000"/>
          <w:sz w:val="22.079999923706055"/>
          <w:szCs w:val="22.079999923706055"/>
          <w:u w:val="none"/>
          <w:shd w:fill="auto" w:val="clear"/>
          <w:vertAlign w:val="baseline"/>
          <w:rtl w:val="0"/>
        </w:rPr>
        <w:t xml:space="preserve">Ao final da obra, deverá ser entregue relatório fotográfico com os serviços  executados: os dispositivos de drenagem, revestimento em C.A.U.Q, concreto,  sinalização, e quais quer outros que comprovem a execução dos serviços, e ainda, os  laudos referentes as pinturas de sinalização e os ensaios pertinentes ao asfalto utilizado. </w:t>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69.6734619140625" w:line="240" w:lineRule="auto"/>
        <w:ind w:left="2906.651153564453"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____________________________________ </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3.9263916015625" w:line="240" w:lineRule="auto"/>
        <w:ind w:left="3656.565399169922"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Max Mooshammer </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8.326416015625" w:line="240" w:lineRule="auto"/>
        <w:ind w:left="3788.564910888672"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Engenheiro Civil </w:t>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8.92669677734375" w:line="240" w:lineRule="auto"/>
        <w:ind w:left="3617.6084899902344" w:right="0" w:firstLine="0"/>
        <w:jc w:val="left"/>
        <w:rPr>
          <w:rFonts w:ascii="Arial" w:cs="Arial" w:eastAsia="Arial" w:hAnsi="Arial"/>
          <w:b w:val="0"/>
          <w:i w:val="0"/>
          <w:smallCaps w:val="0"/>
          <w:strike w:val="0"/>
          <w:color w:val="000000"/>
          <w:sz w:val="22.079999923706055"/>
          <w:szCs w:val="22.079999923706055"/>
          <w:u w:val="none"/>
          <w:shd w:fill="auto" w:val="clear"/>
          <w:vertAlign w:val="baseline"/>
        </w:rPr>
      </w:pPr>
      <w:r w:rsidDel="00000000" w:rsidR="00000000" w:rsidRPr="00000000">
        <w:rPr>
          <w:rFonts w:ascii="Arial" w:cs="Arial" w:eastAsia="Arial" w:hAnsi="Arial"/>
          <w:b w:val="0"/>
          <w:i w:val="0"/>
          <w:smallCaps w:val="0"/>
          <w:strike w:val="0"/>
          <w:color w:val="000000"/>
          <w:sz w:val="22.079999923706055"/>
          <w:szCs w:val="22.079999923706055"/>
          <w:u w:val="none"/>
          <w:shd w:fill="auto" w:val="clear"/>
          <w:vertAlign w:val="baseline"/>
          <w:rtl w:val="0"/>
        </w:rPr>
        <w:t xml:space="preserve">CREA/SC 139.164-0</w:t>
      </w:r>
    </w:p>
    <w:sectPr>
      <w:type w:val="continuous"/>
      <w:pgSz w:h="16820" w:w="11900" w:orient="portrait"/>
      <w:pgMar w:bottom="1918.0799865722656" w:top="120.001220703125" w:left="1687.9487609863281" w:right="952.80029296875" w:header="0" w:footer="720"/>
      <w:cols w:equalWidth="0" w:num="1">
        <w:col w:space="0" w:w="9259.250946044922"/>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Calibri"/>
  <w:font w:name="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Cambria Math">
    <w:embedRegular w:fontKey="{00000000-0000-0000-0000-000000000000}" r:id="rId7"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2.png"/><Relationship Id="rId22" Type="http://schemas.openxmlformats.org/officeDocument/2006/relationships/image" Target="media/image17.png"/><Relationship Id="rId21" Type="http://schemas.openxmlformats.org/officeDocument/2006/relationships/image" Target="media/image16.png"/><Relationship Id="rId24" Type="http://schemas.openxmlformats.org/officeDocument/2006/relationships/image" Target="media/image1.png"/><Relationship Id="rId23" Type="http://schemas.openxmlformats.org/officeDocument/2006/relationships/image" Target="media/image1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25" Type="http://schemas.openxmlformats.org/officeDocument/2006/relationships/image" Target="media/image2.png"/><Relationship Id="rId5" Type="http://schemas.openxmlformats.org/officeDocument/2006/relationships/styles" Target="styles.xml"/><Relationship Id="rId6" Type="http://schemas.openxmlformats.org/officeDocument/2006/relationships/image" Target="media/image26.png"/><Relationship Id="rId7" Type="http://schemas.openxmlformats.org/officeDocument/2006/relationships/image" Target="media/image18.png"/><Relationship Id="rId8" Type="http://schemas.openxmlformats.org/officeDocument/2006/relationships/image" Target="media/image20.png"/><Relationship Id="rId11" Type="http://schemas.openxmlformats.org/officeDocument/2006/relationships/image" Target="media/image7.png"/><Relationship Id="rId10"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5" Type="http://schemas.openxmlformats.org/officeDocument/2006/relationships/image" Target="media/image8.png"/><Relationship Id="rId14" Type="http://schemas.openxmlformats.org/officeDocument/2006/relationships/image" Target="media/image10.png"/><Relationship Id="rId17" Type="http://schemas.openxmlformats.org/officeDocument/2006/relationships/image" Target="media/image13.png"/><Relationship Id="rId16" Type="http://schemas.openxmlformats.org/officeDocument/2006/relationships/image" Target="media/image9.png"/><Relationship Id="rId19" Type="http://schemas.openxmlformats.org/officeDocument/2006/relationships/image" Target="media/image11.png"/><Relationship Id="rId18" Type="http://schemas.openxmlformats.org/officeDocument/2006/relationships/image" Target="media/image14.png"/></Relationships>
</file>

<file path=word/_rels/fontTable.xml.rels><?xml version="1.0" encoding="UTF-8" standalone="yes"?><Relationships xmlns="http://schemas.openxmlformats.org/package/2006/relationships"><Relationship Id="rId1" Type="http://schemas.openxmlformats.org/officeDocument/2006/relationships/font" Target="fonts/Garamond-regular.ttf"/><Relationship Id="rId2" Type="http://schemas.openxmlformats.org/officeDocument/2006/relationships/font" Target="fonts/Garamond-bold.ttf"/><Relationship Id="rId3" Type="http://schemas.openxmlformats.org/officeDocument/2006/relationships/font" Target="fonts/Garamond-italic.ttf"/><Relationship Id="rId4" Type="http://schemas.openxmlformats.org/officeDocument/2006/relationships/font" Target="fonts/Garamond-bold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