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766510">
        <w:rPr>
          <w:b/>
          <w:sz w:val="20"/>
          <w:lang w:eastAsia="pt-BR"/>
        </w:rPr>
        <w:t>/2016/FMS/14</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OLIMED MATERIAL HOSPITALAR LTDA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V EX PAUL FRITZ KUEHNRICH, 1515 – 47-3323-2480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03.033.589/0001-12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MARCOS MAURILIO PEREIRA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RUA MANACAS, 163 – BLUMENAU/SC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808.696.299-72</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766510" w:rsidP="0098421D">
            <w:pPr>
              <w:suppressAutoHyphens w:val="0"/>
              <w:autoSpaceDE w:val="0"/>
              <w:autoSpaceDN w:val="0"/>
              <w:adjustRightInd w:val="0"/>
              <w:rPr>
                <w:b/>
                <w:sz w:val="20"/>
                <w:lang w:eastAsia="pt-BR"/>
              </w:rPr>
            </w:pPr>
            <w:r>
              <w:rPr>
                <w:b/>
                <w:sz w:val="20"/>
                <w:lang w:eastAsia="pt-BR"/>
              </w:rPr>
              <w:t>2.799.192-0</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417"/>
        <w:gridCol w:w="993"/>
        <w:gridCol w:w="1275"/>
      </w:tblGrid>
      <w:tr w:rsidR="00595EDB" w:rsidRPr="00BF7A66" w:rsidTr="00F77BD0">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417"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993"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50</w:t>
            </w:r>
          </w:p>
        </w:tc>
        <w:tc>
          <w:tcPr>
            <w:tcW w:w="4395" w:type="dxa"/>
            <w:vAlign w:val="center"/>
          </w:tcPr>
          <w:p w:rsidR="00595EDB" w:rsidRPr="00BF7A66" w:rsidRDefault="00595EDB" w:rsidP="0098421D">
            <w:pPr>
              <w:rPr>
                <w:sz w:val="20"/>
              </w:rPr>
            </w:pPr>
            <w:r w:rsidRPr="00BF7A66">
              <w:rPr>
                <w:sz w:val="20"/>
              </w:rPr>
              <w:t>Campo cirúrgico liso, não fenestrado, em tecido BRIM, 100% algodão, medida mínima de 120 x 80 cm. Tecido duplo. Não descartável.</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B020A0" w:rsidP="0098421D">
            <w:pPr>
              <w:snapToGrid w:val="0"/>
              <w:rPr>
                <w:sz w:val="20"/>
                <w:lang w:val="pt-PT"/>
              </w:rPr>
            </w:pPr>
            <w:r>
              <w:rPr>
                <w:sz w:val="20"/>
                <w:lang w:val="pt-PT"/>
              </w:rPr>
              <w:t>LD</w:t>
            </w:r>
          </w:p>
        </w:tc>
        <w:tc>
          <w:tcPr>
            <w:tcW w:w="993" w:type="dxa"/>
            <w:vAlign w:val="center"/>
          </w:tcPr>
          <w:p w:rsidR="00595EDB" w:rsidRPr="00BF7A66" w:rsidRDefault="00B020A0" w:rsidP="0098421D">
            <w:pPr>
              <w:snapToGrid w:val="0"/>
              <w:jc w:val="right"/>
              <w:rPr>
                <w:sz w:val="20"/>
                <w:lang w:val="pt-PT"/>
              </w:rPr>
            </w:pPr>
            <w:r>
              <w:rPr>
                <w:sz w:val="20"/>
                <w:lang w:val="pt-PT"/>
              </w:rPr>
              <w:t>21,50</w:t>
            </w:r>
          </w:p>
        </w:tc>
        <w:tc>
          <w:tcPr>
            <w:tcW w:w="1275" w:type="dxa"/>
            <w:vAlign w:val="center"/>
          </w:tcPr>
          <w:p w:rsidR="00595EDB" w:rsidRPr="00BF7A66" w:rsidRDefault="00B020A0" w:rsidP="0098421D">
            <w:pPr>
              <w:snapToGrid w:val="0"/>
              <w:jc w:val="right"/>
              <w:rPr>
                <w:sz w:val="20"/>
                <w:lang w:val="pt-PT"/>
              </w:rPr>
            </w:pPr>
            <w:r>
              <w:rPr>
                <w:sz w:val="20"/>
                <w:lang w:val="pt-PT"/>
              </w:rPr>
              <w:t>2.150,00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51</w:t>
            </w:r>
          </w:p>
        </w:tc>
        <w:tc>
          <w:tcPr>
            <w:tcW w:w="4395" w:type="dxa"/>
            <w:vAlign w:val="center"/>
          </w:tcPr>
          <w:p w:rsidR="00595EDB" w:rsidRPr="00BF7A66" w:rsidRDefault="00595EDB" w:rsidP="0098421D">
            <w:pPr>
              <w:rPr>
                <w:sz w:val="20"/>
              </w:rPr>
            </w:pPr>
            <w:r w:rsidRPr="00BF7A66">
              <w:rPr>
                <w:sz w:val="20"/>
              </w:rPr>
              <w:t>Campo cirúrgico liso, não fenestrado, em tecido BRIM, 100% algodão, medida mínima de 200 x 150 cm. Tecido duplo. Não descartável.</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B020A0" w:rsidP="0098421D">
            <w:pPr>
              <w:snapToGrid w:val="0"/>
              <w:rPr>
                <w:sz w:val="20"/>
                <w:lang w:val="pt-PT"/>
              </w:rPr>
            </w:pPr>
            <w:r>
              <w:rPr>
                <w:sz w:val="20"/>
                <w:lang w:val="pt-PT"/>
              </w:rPr>
              <w:t>LD</w:t>
            </w:r>
          </w:p>
        </w:tc>
        <w:tc>
          <w:tcPr>
            <w:tcW w:w="993" w:type="dxa"/>
            <w:vAlign w:val="center"/>
          </w:tcPr>
          <w:p w:rsidR="00595EDB" w:rsidRPr="00BF7A66" w:rsidRDefault="00B020A0" w:rsidP="0098421D">
            <w:pPr>
              <w:snapToGrid w:val="0"/>
              <w:jc w:val="right"/>
              <w:rPr>
                <w:sz w:val="20"/>
                <w:lang w:val="pt-PT"/>
              </w:rPr>
            </w:pPr>
            <w:r>
              <w:rPr>
                <w:sz w:val="20"/>
                <w:lang w:val="pt-PT"/>
              </w:rPr>
              <w:t>34,80</w:t>
            </w:r>
          </w:p>
        </w:tc>
        <w:tc>
          <w:tcPr>
            <w:tcW w:w="1275" w:type="dxa"/>
            <w:vAlign w:val="center"/>
          </w:tcPr>
          <w:p w:rsidR="00595EDB" w:rsidRPr="00BF7A66" w:rsidRDefault="00B020A0" w:rsidP="0098421D">
            <w:pPr>
              <w:snapToGrid w:val="0"/>
              <w:jc w:val="right"/>
              <w:rPr>
                <w:sz w:val="20"/>
                <w:lang w:val="pt-PT"/>
              </w:rPr>
            </w:pPr>
            <w:r>
              <w:rPr>
                <w:sz w:val="20"/>
                <w:lang w:val="pt-PT"/>
              </w:rPr>
              <w:t>3.480,00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109</w:t>
            </w:r>
          </w:p>
        </w:tc>
        <w:tc>
          <w:tcPr>
            <w:tcW w:w="4395" w:type="dxa"/>
            <w:vAlign w:val="center"/>
          </w:tcPr>
          <w:p w:rsidR="00595EDB" w:rsidRPr="00BF7A66" w:rsidRDefault="00595EDB" w:rsidP="0098421D">
            <w:pPr>
              <w:rPr>
                <w:sz w:val="20"/>
                <w:lang w:eastAsia="pt-BR"/>
              </w:rPr>
            </w:pPr>
            <w:r w:rsidRPr="00BF7A66">
              <w:rPr>
                <w:sz w:val="20"/>
              </w:rPr>
              <w:t>Equipo para administração exclusiva de dietas enterais com tubo de PVC na cor azul que indica exclusividade para nutrição enteral, com controlador de fluxo (gotejamento) tipo pinça rolete, estéril, atóxico e apirogênico. Registro na ANVISA e no MS.</w:t>
            </w:r>
          </w:p>
        </w:tc>
        <w:tc>
          <w:tcPr>
            <w:tcW w:w="850" w:type="dxa"/>
            <w:vAlign w:val="center"/>
          </w:tcPr>
          <w:p w:rsidR="00595EDB" w:rsidRPr="00BF7A66" w:rsidRDefault="00595EDB" w:rsidP="0098421D">
            <w:pPr>
              <w:jc w:val="right"/>
              <w:rPr>
                <w:sz w:val="20"/>
              </w:rPr>
            </w:pPr>
            <w:r w:rsidRPr="00BF7A66">
              <w:rPr>
                <w:sz w:val="20"/>
              </w:rPr>
              <w:t>1.500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B020A0" w:rsidP="0098421D">
            <w:pPr>
              <w:snapToGrid w:val="0"/>
              <w:rPr>
                <w:sz w:val="20"/>
                <w:lang w:val="es-ES_tradnl"/>
              </w:rPr>
            </w:pPr>
            <w:r>
              <w:rPr>
                <w:sz w:val="20"/>
                <w:lang w:val="es-ES_tradnl"/>
              </w:rPr>
              <w:t>BIOBASE</w:t>
            </w:r>
          </w:p>
        </w:tc>
        <w:tc>
          <w:tcPr>
            <w:tcW w:w="993" w:type="dxa"/>
            <w:vAlign w:val="center"/>
          </w:tcPr>
          <w:p w:rsidR="00595EDB" w:rsidRPr="00BF7A66" w:rsidRDefault="00B020A0" w:rsidP="0098421D">
            <w:pPr>
              <w:snapToGrid w:val="0"/>
              <w:jc w:val="right"/>
              <w:rPr>
                <w:sz w:val="20"/>
                <w:lang w:val="es-ES_tradnl"/>
              </w:rPr>
            </w:pPr>
            <w:r>
              <w:rPr>
                <w:sz w:val="20"/>
                <w:lang w:val="es-ES_tradnl"/>
              </w:rPr>
              <w:t>1,52</w:t>
            </w:r>
          </w:p>
        </w:tc>
        <w:tc>
          <w:tcPr>
            <w:tcW w:w="1275" w:type="dxa"/>
            <w:vAlign w:val="center"/>
          </w:tcPr>
          <w:p w:rsidR="00595EDB" w:rsidRPr="00BF7A66" w:rsidRDefault="00B020A0" w:rsidP="0098421D">
            <w:pPr>
              <w:snapToGrid w:val="0"/>
              <w:jc w:val="right"/>
              <w:rPr>
                <w:sz w:val="20"/>
                <w:lang w:val="es-ES_tradnl"/>
              </w:rPr>
            </w:pPr>
            <w:r>
              <w:rPr>
                <w:sz w:val="20"/>
                <w:lang w:val="es-ES_tradnl"/>
              </w:rPr>
              <w:t>2.280,00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157</w:t>
            </w:r>
          </w:p>
        </w:tc>
        <w:tc>
          <w:tcPr>
            <w:tcW w:w="4395" w:type="dxa"/>
            <w:vAlign w:val="center"/>
          </w:tcPr>
          <w:p w:rsidR="00595EDB" w:rsidRPr="00BF7A66" w:rsidRDefault="00595EDB" w:rsidP="0098421D">
            <w:pPr>
              <w:rPr>
                <w:b/>
                <w:bCs w:val="0"/>
                <w:sz w:val="20"/>
                <w:lang w:eastAsia="pt-BR"/>
              </w:rPr>
            </w:pPr>
            <w:r w:rsidRPr="00BF7A66">
              <w:rPr>
                <w:sz w:val="20"/>
                <w:lang w:eastAsia="pt-BR"/>
              </w:rPr>
              <w:t xml:space="preserve">Lanterna clínica pupilar, à pilha, confeccionada em alumínio, com lâmpada de </w:t>
            </w:r>
            <w:r w:rsidRPr="00BF7A66">
              <w:rPr>
                <w:i/>
                <w:sz w:val="20"/>
                <w:lang w:eastAsia="pt-BR"/>
              </w:rPr>
              <w:t>led</w:t>
            </w:r>
            <w:r w:rsidRPr="00BF7A66">
              <w:rPr>
                <w:sz w:val="20"/>
                <w:lang w:eastAsia="pt-BR"/>
              </w:rPr>
              <w:t xml:space="preserve">. </w:t>
            </w:r>
            <w:r w:rsidRPr="00BF7A66">
              <w:rPr>
                <w:b/>
                <w:bCs w:val="0"/>
                <w:sz w:val="20"/>
                <w:lang w:eastAsia="pt-BR"/>
              </w:rPr>
              <w:t xml:space="preserve">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F77BD0" w:rsidP="0098421D">
            <w:pPr>
              <w:snapToGrid w:val="0"/>
              <w:rPr>
                <w:sz w:val="20"/>
                <w:lang w:val="pt-PT"/>
              </w:rPr>
            </w:pPr>
            <w:r>
              <w:rPr>
                <w:sz w:val="20"/>
                <w:lang w:val="pt-PT"/>
              </w:rPr>
              <w:t>PENLIGHT</w:t>
            </w:r>
          </w:p>
        </w:tc>
        <w:tc>
          <w:tcPr>
            <w:tcW w:w="993" w:type="dxa"/>
            <w:vAlign w:val="center"/>
          </w:tcPr>
          <w:p w:rsidR="00595EDB" w:rsidRPr="00BF7A66" w:rsidRDefault="00F77BD0" w:rsidP="0098421D">
            <w:pPr>
              <w:snapToGrid w:val="0"/>
              <w:jc w:val="right"/>
              <w:rPr>
                <w:sz w:val="20"/>
                <w:lang w:val="pt-PT"/>
              </w:rPr>
            </w:pPr>
            <w:r>
              <w:rPr>
                <w:sz w:val="20"/>
                <w:lang w:val="pt-PT"/>
              </w:rPr>
              <w:t>15,55</w:t>
            </w:r>
          </w:p>
        </w:tc>
        <w:tc>
          <w:tcPr>
            <w:tcW w:w="1275" w:type="dxa"/>
            <w:vAlign w:val="center"/>
          </w:tcPr>
          <w:p w:rsidR="00595EDB" w:rsidRPr="00BF7A66" w:rsidRDefault="00F77BD0" w:rsidP="0098421D">
            <w:pPr>
              <w:snapToGrid w:val="0"/>
              <w:jc w:val="right"/>
              <w:rPr>
                <w:sz w:val="20"/>
                <w:lang w:val="pt-PT"/>
              </w:rPr>
            </w:pPr>
            <w:r>
              <w:rPr>
                <w:sz w:val="20"/>
                <w:lang w:val="pt-PT"/>
              </w:rPr>
              <w:t>388,75</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172</w:t>
            </w:r>
          </w:p>
        </w:tc>
        <w:tc>
          <w:tcPr>
            <w:tcW w:w="4395" w:type="dxa"/>
            <w:vAlign w:val="center"/>
          </w:tcPr>
          <w:p w:rsidR="00595EDB" w:rsidRPr="00BF7A66" w:rsidRDefault="00595EDB" w:rsidP="0098421D">
            <w:pPr>
              <w:rPr>
                <w:sz w:val="20"/>
                <w:lang w:eastAsia="pt-BR"/>
              </w:rPr>
            </w:pPr>
            <w:r w:rsidRPr="00BF7A66">
              <w:rPr>
                <w:sz w:val="20"/>
                <w:lang w:eastAsia="pt-BR"/>
              </w:rPr>
              <w:t xml:space="preserve">Luva látex, hipo alergênica ambidestra, tamanho </w:t>
            </w:r>
            <w:r w:rsidRPr="00BF7A66">
              <w:rPr>
                <w:b/>
                <w:sz w:val="20"/>
                <w:lang w:eastAsia="pt-BR"/>
              </w:rPr>
              <w:t>extra pequeno</w:t>
            </w:r>
            <w:r w:rsidRPr="00BF7A66">
              <w:rPr>
                <w:sz w:val="20"/>
                <w:lang w:eastAsia="pt-BR"/>
              </w:rPr>
              <w:t>, com pó bioabsorvível, baixa proteína, para atendimento clínico – descartável -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650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D46D77" w:rsidP="0098421D">
            <w:pPr>
              <w:snapToGrid w:val="0"/>
              <w:rPr>
                <w:sz w:val="20"/>
                <w:lang w:val="pt-PT"/>
              </w:rPr>
            </w:pPr>
            <w:r>
              <w:rPr>
                <w:sz w:val="20"/>
                <w:lang w:val="pt-PT"/>
              </w:rPr>
              <w:t>NUGARD</w:t>
            </w:r>
          </w:p>
        </w:tc>
        <w:tc>
          <w:tcPr>
            <w:tcW w:w="993" w:type="dxa"/>
            <w:vAlign w:val="center"/>
          </w:tcPr>
          <w:p w:rsidR="00595EDB" w:rsidRPr="00BF7A66" w:rsidRDefault="00D46D77" w:rsidP="0098421D">
            <w:pPr>
              <w:snapToGrid w:val="0"/>
              <w:jc w:val="right"/>
              <w:rPr>
                <w:sz w:val="20"/>
                <w:lang w:val="pt-PT"/>
              </w:rPr>
            </w:pPr>
            <w:r>
              <w:rPr>
                <w:sz w:val="20"/>
                <w:lang w:val="pt-PT"/>
              </w:rPr>
              <w:t>15,20</w:t>
            </w:r>
          </w:p>
        </w:tc>
        <w:tc>
          <w:tcPr>
            <w:tcW w:w="1275" w:type="dxa"/>
            <w:vAlign w:val="center"/>
          </w:tcPr>
          <w:p w:rsidR="00595EDB" w:rsidRPr="00BF7A66" w:rsidRDefault="00D46D77" w:rsidP="0098421D">
            <w:pPr>
              <w:snapToGrid w:val="0"/>
              <w:jc w:val="right"/>
              <w:rPr>
                <w:sz w:val="20"/>
                <w:lang w:val="pt-PT"/>
              </w:rPr>
            </w:pPr>
            <w:r>
              <w:rPr>
                <w:sz w:val="20"/>
                <w:lang w:val="pt-PT"/>
              </w:rPr>
              <w:t>9.880,00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174</w:t>
            </w:r>
          </w:p>
        </w:tc>
        <w:tc>
          <w:tcPr>
            <w:tcW w:w="4395" w:type="dxa"/>
            <w:vAlign w:val="center"/>
          </w:tcPr>
          <w:p w:rsidR="00595EDB" w:rsidRPr="00BF7A66" w:rsidRDefault="00595EDB" w:rsidP="0098421D">
            <w:pPr>
              <w:rPr>
                <w:sz w:val="20"/>
                <w:lang w:eastAsia="pt-BR"/>
              </w:rPr>
            </w:pPr>
            <w:r w:rsidRPr="00BF7A66">
              <w:rPr>
                <w:sz w:val="20"/>
                <w:lang w:eastAsia="pt-BR"/>
              </w:rPr>
              <w:t xml:space="preserve">Luva látex, hipo alergênica, ambidestras, tamanho </w:t>
            </w:r>
            <w:r w:rsidRPr="00BF7A66">
              <w:rPr>
                <w:b/>
                <w:sz w:val="20"/>
                <w:lang w:eastAsia="pt-BR"/>
              </w:rPr>
              <w:t>médio</w:t>
            </w:r>
            <w:r w:rsidRPr="00BF7A66">
              <w:rPr>
                <w:sz w:val="20"/>
                <w:lang w:eastAsia="pt-BR"/>
              </w:rPr>
              <w:t>, com pó bioabsorvível, baixa proteína, para atendimento clínico – descartável - com 100 unidades.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675</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D46D77" w:rsidP="0098421D">
            <w:pPr>
              <w:snapToGrid w:val="0"/>
              <w:rPr>
                <w:sz w:val="20"/>
                <w:lang w:val="pt-PT"/>
              </w:rPr>
            </w:pPr>
            <w:r>
              <w:rPr>
                <w:sz w:val="20"/>
                <w:lang w:val="pt-PT"/>
              </w:rPr>
              <w:t>NUGARD</w:t>
            </w:r>
          </w:p>
        </w:tc>
        <w:tc>
          <w:tcPr>
            <w:tcW w:w="993" w:type="dxa"/>
            <w:vAlign w:val="center"/>
          </w:tcPr>
          <w:p w:rsidR="00595EDB" w:rsidRPr="00BF7A66" w:rsidRDefault="00D46D77" w:rsidP="0098421D">
            <w:pPr>
              <w:snapToGrid w:val="0"/>
              <w:jc w:val="right"/>
              <w:rPr>
                <w:sz w:val="20"/>
                <w:lang w:val="pt-PT"/>
              </w:rPr>
            </w:pPr>
            <w:r>
              <w:rPr>
                <w:sz w:val="20"/>
                <w:lang w:val="pt-PT"/>
              </w:rPr>
              <w:t>15,20</w:t>
            </w:r>
          </w:p>
        </w:tc>
        <w:tc>
          <w:tcPr>
            <w:tcW w:w="1275" w:type="dxa"/>
            <w:vAlign w:val="center"/>
          </w:tcPr>
          <w:p w:rsidR="00595EDB" w:rsidRPr="00BF7A66" w:rsidRDefault="00D46D77" w:rsidP="0098421D">
            <w:pPr>
              <w:snapToGrid w:val="0"/>
              <w:jc w:val="right"/>
              <w:rPr>
                <w:sz w:val="20"/>
                <w:lang w:val="pt-PT"/>
              </w:rPr>
            </w:pPr>
            <w:r>
              <w:rPr>
                <w:sz w:val="20"/>
                <w:lang w:val="pt-PT"/>
              </w:rPr>
              <w:t>10.260,00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175</w:t>
            </w:r>
          </w:p>
        </w:tc>
        <w:tc>
          <w:tcPr>
            <w:tcW w:w="4395" w:type="dxa"/>
            <w:vAlign w:val="center"/>
          </w:tcPr>
          <w:p w:rsidR="00595EDB" w:rsidRPr="00BF7A66" w:rsidRDefault="00595EDB" w:rsidP="0098421D">
            <w:pPr>
              <w:rPr>
                <w:sz w:val="20"/>
                <w:lang w:eastAsia="pt-BR"/>
              </w:rPr>
            </w:pPr>
            <w:r w:rsidRPr="00BF7A66">
              <w:rPr>
                <w:sz w:val="20"/>
                <w:lang w:eastAsia="pt-BR"/>
              </w:rPr>
              <w:t xml:space="preserve">Luva látex, hipo alergênica, ambidestras, tamanho </w:t>
            </w:r>
            <w:r w:rsidRPr="00BF7A66">
              <w:rPr>
                <w:b/>
                <w:sz w:val="20"/>
                <w:lang w:eastAsia="pt-BR"/>
              </w:rPr>
              <w:t>pequeno</w:t>
            </w:r>
            <w:r w:rsidRPr="00BF7A66">
              <w:rPr>
                <w:sz w:val="20"/>
                <w:lang w:eastAsia="pt-BR"/>
              </w:rPr>
              <w:t xml:space="preserve">, com pó bioabsorvível, baixa proteína, para atendimento clínico – descartável - com 100 unidades.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675</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D46D77" w:rsidP="0098421D">
            <w:pPr>
              <w:snapToGrid w:val="0"/>
              <w:rPr>
                <w:sz w:val="20"/>
                <w:lang w:val="pt-PT"/>
              </w:rPr>
            </w:pPr>
            <w:r>
              <w:rPr>
                <w:sz w:val="20"/>
                <w:lang w:val="pt-PT"/>
              </w:rPr>
              <w:t>NUGARD</w:t>
            </w:r>
          </w:p>
        </w:tc>
        <w:tc>
          <w:tcPr>
            <w:tcW w:w="993" w:type="dxa"/>
            <w:vAlign w:val="center"/>
          </w:tcPr>
          <w:p w:rsidR="00595EDB" w:rsidRPr="00BF7A66" w:rsidRDefault="00D46D77" w:rsidP="0098421D">
            <w:pPr>
              <w:snapToGrid w:val="0"/>
              <w:jc w:val="right"/>
              <w:rPr>
                <w:sz w:val="20"/>
                <w:lang w:val="pt-PT"/>
              </w:rPr>
            </w:pPr>
            <w:r>
              <w:rPr>
                <w:sz w:val="20"/>
                <w:lang w:val="pt-PT"/>
              </w:rPr>
              <w:t>15,20</w:t>
            </w:r>
          </w:p>
        </w:tc>
        <w:tc>
          <w:tcPr>
            <w:tcW w:w="1275" w:type="dxa"/>
            <w:vAlign w:val="center"/>
          </w:tcPr>
          <w:p w:rsidR="00595EDB" w:rsidRPr="00BF7A66" w:rsidRDefault="00D46D77" w:rsidP="0098421D">
            <w:pPr>
              <w:snapToGrid w:val="0"/>
              <w:jc w:val="right"/>
              <w:rPr>
                <w:sz w:val="20"/>
                <w:lang w:val="pt-PT"/>
              </w:rPr>
            </w:pPr>
            <w:r>
              <w:rPr>
                <w:sz w:val="20"/>
                <w:lang w:val="pt-PT"/>
              </w:rPr>
              <w:t>10.260,00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191</w:t>
            </w:r>
          </w:p>
        </w:tc>
        <w:tc>
          <w:tcPr>
            <w:tcW w:w="4395" w:type="dxa"/>
            <w:vAlign w:val="center"/>
          </w:tcPr>
          <w:p w:rsidR="00595EDB" w:rsidRPr="00BF7A66" w:rsidRDefault="00595EDB" w:rsidP="0098421D">
            <w:pPr>
              <w:rPr>
                <w:sz w:val="20"/>
                <w:lang w:eastAsia="pt-BR"/>
              </w:rPr>
            </w:pPr>
            <w:r w:rsidRPr="00BF7A66">
              <w:rPr>
                <w:sz w:val="20"/>
                <w:lang w:eastAsia="pt-BR"/>
              </w:rPr>
              <w:t>Mocho hospitalar com encosto e rodas</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12</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6C33D1" w:rsidP="0098421D">
            <w:pPr>
              <w:snapToGrid w:val="0"/>
              <w:rPr>
                <w:sz w:val="20"/>
                <w:lang w:val="pt-PT"/>
              </w:rPr>
            </w:pPr>
            <w:r>
              <w:rPr>
                <w:sz w:val="20"/>
                <w:lang w:val="pt-PT"/>
              </w:rPr>
              <w:t>OLIMEDIC</w:t>
            </w:r>
          </w:p>
        </w:tc>
        <w:tc>
          <w:tcPr>
            <w:tcW w:w="993" w:type="dxa"/>
            <w:vAlign w:val="center"/>
          </w:tcPr>
          <w:p w:rsidR="00595EDB" w:rsidRPr="00BF7A66" w:rsidRDefault="006C33D1" w:rsidP="0098421D">
            <w:pPr>
              <w:snapToGrid w:val="0"/>
              <w:jc w:val="right"/>
              <w:rPr>
                <w:sz w:val="20"/>
                <w:lang w:val="pt-PT"/>
              </w:rPr>
            </w:pPr>
            <w:r>
              <w:rPr>
                <w:sz w:val="20"/>
                <w:lang w:val="pt-PT"/>
              </w:rPr>
              <w:t>219,90</w:t>
            </w:r>
          </w:p>
        </w:tc>
        <w:tc>
          <w:tcPr>
            <w:tcW w:w="1275" w:type="dxa"/>
            <w:vAlign w:val="center"/>
          </w:tcPr>
          <w:p w:rsidR="00595EDB" w:rsidRPr="00BF7A66" w:rsidRDefault="006C33D1" w:rsidP="0098421D">
            <w:pPr>
              <w:snapToGrid w:val="0"/>
              <w:jc w:val="right"/>
              <w:rPr>
                <w:sz w:val="20"/>
                <w:lang w:val="pt-PT"/>
              </w:rPr>
            </w:pPr>
            <w:r>
              <w:rPr>
                <w:sz w:val="20"/>
                <w:lang w:val="pt-PT"/>
              </w:rPr>
              <w:t>2.638,80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219</w:t>
            </w:r>
          </w:p>
        </w:tc>
        <w:tc>
          <w:tcPr>
            <w:tcW w:w="4395" w:type="dxa"/>
            <w:vAlign w:val="center"/>
          </w:tcPr>
          <w:p w:rsidR="00595EDB" w:rsidRPr="00BF7A66" w:rsidRDefault="00595EDB" w:rsidP="0098421D">
            <w:pPr>
              <w:rPr>
                <w:sz w:val="20"/>
                <w:lang w:eastAsia="pt-BR"/>
              </w:rPr>
            </w:pPr>
            <w:r w:rsidRPr="00BF7A66">
              <w:rPr>
                <w:sz w:val="20"/>
                <w:lang w:eastAsia="pt-BR"/>
              </w:rPr>
              <w:t xml:space="preserve">Saco para vômito, tamanho único.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450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6C33D1" w:rsidP="0098421D">
            <w:pPr>
              <w:snapToGrid w:val="0"/>
              <w:rPr>
                <w:sz w:val="20"/>
                <w:lang w:val="pt-PT"/>
              </w:rPr>
            </w:pPr>
            <w:r>
              <w:rPr>
                <w:sz w:val="20"/>
                <w:lang w:val="pt-PT"/>
              </w:rPr>
              <w:t>MEDSONDA</w:t>
            </w:r>
          </w:p>
        </w:tc>
        <w:tc>
          <w:tcPr>
            <w:tcW w:w="993" w:type="dxa"/>
            <w:vAlign w:val="center"/>
          </w:tcPr>
          <w:p w:rsidR="00595EDB" w:rsidRPr="00BF7A66" w:rsidRDefault="006C33D1" w:rsidP="0098421D">
            <w:pPr>
              <w:snapToGrid w:val="0"/>
              <w:jc w:val="right"/>
              <w:rPr>
                <w:sz w:val="20"/>
                <w:lang w:val="pt-PT"/>
              </w:rPr>
            </w:pPr>
            <w:r>
              <w:rPr>
                <w:sz w:val="20"/>
                <w:lang w:val="pt-PT"/>
              </w:rPr>
              <w:t>0,45</w:t>
            </w:r>
          </w:p>
        </w:tc>
        <w:tc>
          <w:tcPr>
            <w:tcW w:w="1275" w:type="dxa"/>
            <w:vAlign w:val="center"/>
          </w:tcPr>
          <w:p w:rsidR="00595EDB" w:rsidRPr="00BF7A66" w:rsidRDefault="006C33D1" w:rsidP="0098421D">
            <w:pPr>
              <w:snapToGrid w:val="0"/>
              <w:jc w:val="right"/>
              <w:rPr>
                <w:sz w:val="20"/>
                <w:lang w:val="pt-PT"/>
              </w:rPr>
            </w:pPr>
            <w:r>
              <w:rPr>
                <w:sz w:val="20"/>
                <w:lang w:val="pt-PT"/>
              </w:rPr>
              <w:t>202,50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266</w:t>
            </w:r>
          </w:p>
        </w:tc>
        <w:tc>
          <w:tcPr>
            <w:tcW w:w="4395" w:type="dxa"/>
            <w:vAlign w:val="center"/>
          </w:tcPr>
          <w:p w:rsidR="00595EDB" w:rsidRPr="00BF7A66" w:rsidRDefault="00595EDB" w:rsidP="0098421D">
            <w:pPr>
              <w:rPr>
                <w:sz w:val="20"/>
                <w:lang w:eastAsia="pt-BR"/>
              </w:rPr>
            </w:pPr>
            <w:r w:rsidRPr="00BF7A66">
              <w:rPr>
                <w:sz w:val="20"/>
              </w:rPr>
              <w:t>Suporte para colocação de soro em aço inox. Haste com regulagem de altura, confeccionada em tubo redondo de aço inoxidável com acabamento polido de 3/4" x 1,20 mm (ou superior), terminação em X com 04 ganchos de tubos de aço inox 3/16. Coluna receptora da haste confeccionada em tubo redondo de aço inoxidável com acabamento polido de Ø 1" x 1,20mm (ou superior). Regulagem de altura de, no mínimo, 1,50 m e 2,10 m. Base com 04 pernas em X confeccionada em alumínio fundido com acabamento polido, com dimensões aproximadas de 50 cm (de uma ponta a outra) para garantir maior estabilidade do conjunto. Rodízios giratórios com diâmetro mínimo de Ø 2". Suporte com rodas. Peso mínimo aproximado de 05 kg.</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567EF2" w:rsidP="0098421D">
            <w:pPr>
              <w:snapToGrid w:val="0"/>
              <w:rPr>
                <w:sz w:val="20"/>
                <w:lang w:val="pt-PT"/>
              </w:rPr>
            </w:pPr>
            <w:r>
              <w:rPr>
                <w:sz w:val="20"/>
                <w:lang w:val="pt-PT"/>
              </w:rPr>
              <w:t>OLIMEDIC</w:t>
            </w:r>
          </w:p>
        </w:tc>
        <w:tc>
          <w:tcPr>
            <w:tcW w:w="993" w:type="dxa"/>
            <w:vAlign w:val="center"/>
          </w:tcPr>
          <w:p w:rsidR="00595EDB" w:rsidRPr="00BF7A66" w:rsidRDefault="00567EF2" w:rsidP="0098421D">
            <w:pPr>
              <w:snapToGrid w:val="0"/>
              <w:jc w:val="right"/>
              <w:rPr>
                <w:sz w:val="20"/>
                <w:lang w:val="pt-PT"/>
              </w:rPr>
            </w:pPr>
            <w:r>
              <w:rPr>
                <w:sz w:val="20"/>
                <w:lang w:val="pt-PT"/>
              </w:rPr>
              <w:t>175,00</w:t>
            </w:r>
          </w:p>
        </w:tc>
        <w:tc>
          <w:tcPr>
            <w:tcW w:w="1275" w:type="dxa"/>
            <w:vAlign w:val="center"/>
          </w:tcPr>
          <w:p w:rsidR="00595EDB" w:rsidRPr="00BF7A66" w:rsidRDefault="00567EF2" w:rsidP="0098421D">
            <w:pPr>
              <w:snapToGrid w:val="0"/>
              <w:jc w:val="right"/>
              <w:rPr>
                <w:sz w:val="20"/>
                <w:lang w:val="pt-PT"/>
              </w:rPr>
            </w:pPr>
            <w:r>
              <w:rPr>
                <w:sz w:val="20"/>
                <w:lang w:val="pt-PT"/>
              </w:rPr>
              <w:t>3.500,00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277</w:t>
            </w:r>
          </w:p>
        </w:tc>
        <w:tc>
          <w:tcPr>
            <w:tcW w:w="4395" w:type="dxa"/>
            <w:vAlign w:val="center"/>
          </w:tcPr>
          <w:p w:rsidR="00595EDB" w:rsidRPr="00BF7A66" w:rsidRDefault="00595EDB" w:rsidP="0098421D">
            <w:pPr>
              <w:rPr>
                <w:sz w:val="20"/>
                <w:lang w:eastAsia="pt-BR"/>
              </w:rPr>
            </w:pPr>
            <w:r w:rsidRPr="00BF7A66">
              <w:rPr>
                <w:sz w:val="20"/>
                <w:lang w:eastAsia="pt-BR"/>
              </w:rPr>
              <w:t xml:space="preserve">Termômetro para geladeira, com dois displays, que permita visualizar a temperatura mínima e máxima, interna e externa da geladeira, bem como a temperatura do momento. </w:t>
            </w:r>
          </w:p>
          <w:p w:rsidR="00595EDB" w:rsidRPr="00BF7A66" w:rsidRDefault="00595EDB" w:rsidP="0098421D">
            <w:pPr>
              <w:rPr>
                <w:sz w:val="20"/>
                <w:lang w:eastAsia="pt-BR"/>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20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567EF2" w:rsidP="0098421D">
            <w:pPr>
              <w:snapToGrid w:val="0"/>
              <w:rPr>
                <w:sz w:val="20"/>
                <w:lang w:val="pt-PT"/>
              </w:rPr>
            </w:pPr>
            <w:r>
              <w:rPr>
                <w:sz w:val="20"/>
                <w:lang w:val="pt-PT"/>
              </w:rPr>
              <w:t>JPROLAB</w:t>
            </w:r>
          </w:p>
        </w:tc>
        <w:tc>
          <w:tcPr>
            <w:tcW w:w="993" w:type="dxa"/>
            <w:vAlign w:val="center"/>
          </w:tcPr>
          <w:p w:rsidR="00595EDB" w:rsidRPr="00BF7A66" w:rsidRDefault="00567EF2" w:rsidP="0098421D">
            <w:pPr>
              <w:snapToGrid w:val="0"/>
              <w:jc w:val="right"/>
              <w:rPr>
                <w:sz w:val="20"/>
                <w:lang w:val="pt-PT"/>
              </w:rPr>
            </w:pPr>
            <w:r>
              <w:rPr>
                <w:sz w:val="20"/>
                <w:lang w:val="pt-PT"/>
              </w:rPr>
              <w:t>54,85</w:t>
            </w:r>
          </w:p>
        </w:tc>
        <w:tc>
          <w:tcPr>
            <w:tcW w:w="1275" w:type="dxa"/>
            <w:vAlign w:val="center"/>
          </w:tcPr>
          <w:p w:rsidR="00595EDB" w:rsidRPr="00BF7A66" w:rsidRDefault="00567EF2" w:rsidP="0098421D">
            <w:pPr>
              <w:snapToGrid w:val="0"/>
              <w:jc w:val="right"/>
              <w:rPr>
                <w:sz w:val="20"/>
                <w:lang w:val="pt-PT"/>
              </w:rPr>
            </w:pPr>
            <w:r>
              <w:rPr>
                <w:sz w:val="20"/>
                <w:lang w:val="pt-PT"/>
              </w:rPr>
              <w:t>1.097,00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282</w:t>
            </w:r>
          </w:p>
        </w:tc>
        <w:tc>
          <w:tcPr>
            <w:tcW w:w="4395" w:type="dxa"/>
            <w:vAlign w:val="center"/>
          </w:tcPr>
          <w:p w:rsidR="00595EDB" w:rsidRPr="00BF7A66" w:rsidRDefault="00595EDB" w:rsidP="0098421D">
            <w:pPr>
              <w:rPr>
                <w:sz w:val="20"/>
                <w:lang w:eastAsia="pt-BR"/>
              </w:rPr>
            </w:pPr>
            <w:r w:rsidRPr="00BF7A66">
              <w:rPr>
                <w:sz w:val="20"/>
              </w:rPr>
              <w:t>Touca descartável com elástico - cor branca - caixa com 100 unidades</w:t>
            </w:r>
          </w:p>
        </w:tc>
        <w:tc>
          <w:tcPr>
            <w:tcW w:w="850" w:type="dxa"/>
            <w:vAlign w:val="center"/>
          </w:tcPr>
          <w:p w:rsidR="00595EDB" w:rsidRPr="00BF7A66" w:rsidRDefault="00595EDB" w:rsidP="0098421D">
            <w:pPr>
              <w:jc w:val="right"/>
              <w:rPr>
                <w:sz w:val="20"/>
              </w:rPr>
            </w:pPr>
            <w:r w:rsidRPr="00BF7A66">
              <w:rPr>
                <w:sz w:val="20"/>
              </w:rPr>
              <w:t>50</w:t>
            </w:r>
          </w:p>
        </w:tc>
        <w:tc>
          <w:tcPr>
            <w:tcW w:w="709" w:type="dxa"/>
            <w:vAlign w:val="center"/>
          </w:tcPr>
          <w:p w:rsidR="00595EDB" w:rsidRPr="00BF7A66" w:rsidRDefault="00595EDB" w:rsidP="0098421D">
            <w:pPr>
              <w:jc w:val="center"/>
              <w:rPr>
                <w:sz w:val="20"/>
              </w:rPr>
            </w:pPr>
            <w:r w:rsidRPr="00BF7A66">
              <w:rPr>
                <w:sz w:val="20"/>
              </w:rPr>
              <w:t>cx</w:t>
            </w:r>
          </w:p>
        </w:tc>
        <w:tc>
          <w:tcPr>
            <w:tcW w:w="1417" w:type="dxa"/>
            <w:vAlign w:val="center"/>
          </w:tcPr>
          <w:p w:rsidR="00595EDB" w:rsidRPr="00BF7A66" w:rsidRDefault="00A41DF1" w:rsidP="0098421D">
            <w:pPr>
              <w:snapToGrid w:val="0"/>
              <w:rPr>
                <w:sz w:val="20"/>
                <w:lang w:val="pt-PT"/>
              </w:rPr>
            </w:pPr>
            <w:r>
              <w:rPr>
                <w:sz w:val="20"/>
                <w:lang w:val="pt-PT"/>
              </w:rPr>
              <w:t>OLIMED</w:t>
            </w:r>
          </w:p>
        </w:tc>
        <w:tc>
          <w:tcPr>
            <w:tcW w:w="993" w:type="dxa"/>
            <w:vAlign w:val="center"/>
          </w:tcPr>
          <w:p w:rsidR="00595EDB" w:rsidRPr="00BF7A66" w:rsidRDefault="00A41DF1" w:rsidP="0098421D">
            <w:pPr>
              <w:snapToGrid w:val="0"/>
              <w:jc w:val="right"/>
              <w:rPr>
                <w:sz w:val="20"/>
                <w:lang w:val="pt-PT"/>
              </w:rPr>
            </w:pPr>
            <w:r>
              <w:rPr>
                <w:sz w:val="20"/>
                <w:lang w:val="pt-PT"/>
              </w:rPr>
              <w:t>6,09</w:t>
            </w:r>
          </w:p>
        </w:tc>
        <w:tc>
          <w:tcPr>
            <w:tcW w:w="1275" w:type="dxa"/>
            <w:vAlign w:val="center"/>
          </w:tcPr>
          <w:p w:rsidR="00595EDB" w:rsidRPr="00BF7A66" w:rsidRDefault="00A41DF1" w:rsidP="0098421D">
            <w:pPr>
              <w:snapToGrid w:val="0"/>
              <w:jc w:val="right"/>
              <w:rPr>
                <w:sz w:val="20"/>
                <w:lang w:val="pt-PT"/>
              </w:rPr>
            </w:pPr>
            <w:r>
              <w:rPr>
                <w:sz w:val="20"/>
                <w:lang w:val="pt-PT"/>
              </w:rPr>
              <w:t>304,50</w:t>
            </w:r>
          </w:p>
        </w:tc>
      </w:tr>
      <w:tr w:rsidR="00595EDB" w:rsidRPr="00BF7A66" w:rsidTr="00F77BD0">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283</w:t>
            </w:r>
          </w:p>
        </w:tc>
        <w:tc>
          <w:tcPr>
            <w:tcW w:w="4395" w:type="dxa"/>
            <w:vAlign w:val="center"/>
          </w:tcPr>
          <w:p w:rsidR="00595EDB" w:rsidRPr="00BF7A66" w:rsidRDefault="00595EDB" w:rsidP="0098421D">
            <w:pPr>
              <w:rPr>
                <w:sz w:val="20"/>
                <w:lang w:eastAsia="pt-BR"/>
              </w:rPr>
            </w:pPr>
            <w:r w:rsidRPr="00BF7A66">
              <w:rPr>
                <w:sz w:val="20"/>
                <w:lang w:eastAsia="pt-BR"/>
              </w:rPr>
              <w:t>Travesseiro de espuma com capa plástica fixa. Tamanho mínimo 40 x 60 cm - comum.</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rPr>
                <w:sz w:val="20"/>
              </w:rPr>
            </w:pPr>
            <w:r w:rsidRPr="00BF7A66">
              <w:rPr>
                <w:sz w:val="20"/>
              </w:rPr>
              <w:t>un</w:t>
            </w:r>
          </w:p>
        </w:tc>
        <w:tc>
          <w:tcPr>
            <w:tcW w:w="1417" w:type="dxa"/>
            <w:vAlign w:val="center"/>
          </w:tcPr>
          <w:p w:rsidR="00595EDB" w:rsidRPr="00BF7A66" w:rsidRDefault="00A41DF1" w:rsidP="0098421D">
            <w:pPr>
              <w:snapToGrid w:val="0"/>
              <w:rPr>
                <w:sz w:val="20"/>
                <w:lang w:val="pt-PT"/>
              </w:rPr>
            </w:pPr>
            <w:r>
              <w:rPr>
                <w:sz w:val="20"/>
                <w:lang w:val="pt-PT"/>
              </w:rPr>
              <w:t>ALTEMBURG</w:t>
            </w:r>
          </w:p>
        </w:tc>
        <w:tc>
          <w:tcPr>
            <w:tcW w:w="993" w:type="dxa"/>
            <w:vAlign w:val="center"/>
          </w:tcPr>
          <w:p w:rsidR="00595EDB" w:rsidRPr="00BF7A66" w:rsidRDefault="00A41DF1" w:rsidP="0098421D">
            <w:pPr>
              <w:snapToGrid w:val="0"/>
              <w:jc w:val="right"/>
              <w:rPr>
                <w:sz w:val="20"/>
                <w:lang w:val="pt-PT"/>
              </w:rPr>
            </w:pPr>
            <w:r>
              <w:rPr>
                <w:sz w:val="20"/>
                <w:lang w:val="pt-PT"/>
              </w:rPr>
              <w:t>44,30</w:t>
            </w:r>
          </w:p>
        </w:tc>
        <w:tc>
          <w:tcPr>
            <w:tcW w:w="1275" w:type="dxa"/>
            <w:vAlign w:val="center"/>
          </w:tcPr>
          <w:p w:rsidR="00595EDB" w:rsidRPr="00BF7A66" w:rsidRDefault="00A41DF1" w:rsidP="0098421D">
            <w:pPr>
              <w:snapToGrid w:val="0"/>
              <w:jc w:val="right"/>
              <w:rPr>
                <w:sz w:val="20"/>
                <w:lang w:val="pt-PT"/>
              </w:rPr>
            </w:pPr>
            <w:r>
              <w:rPr>
                <w:sz w:val="20"/>
                <w:lang w:val="pt-PT"/>
              </w:rPr>
              <w:t>1.329,00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C8203C" w:rsidP="0098421D">
            <w:pPr>
              <w:rPr>
                <w:sz w:val="20"/>
                <w:lang w:eastAsia="pt-BR"/>
              </w:rPr>
            </w:pPr>
            <w:r>
              <w:rPr>
                <w:sz w:val="20"/>
                <w:lang w:eastAsia="pt-BR"/>
              </w:rPr>
              <w:t>47.770,55</w:t>
            </w:r>
          </w:p>
        </w:tc>
      </w:tr>
    </w:tbl>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lastRenderedPageBreak/>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A1566D" w:rsidP="00595EDB">
      <w:pPr>
        <w:tabs>
          <w:tab w:val="left" w:pos="1134"/>
        </w:tabs>
        <w:jc w:val="center"/>
        <w:rPr>
          <w:sz w:val="20"/>
        </w:rPr>
      </w:pPr>
      <w:r>
        <w:rPr>
          <w:sz w:val="20"/>
        </w:rPr>
        <w:t>OLIMED MATERIAL HOSPITALAR LTDA</w:t>
      </w:r>
    </w:p>
    <w:p w:rsidR="00A1566D" w:rsidRDefault="00A1566D" w:rsidP="00595EDB">
      <w:pPr>
        <w:tabs>
          <w:tab w:val="left" w:pos="1134"/>
        </w:tabs>
        <w:jc w:val="center"/>
        <w:rPr>
          <w:sz w:val="20"/>
        </w:rPr>
      </w:pPr>
      <w:r>
        <w:rPr>
          <w:sz w:val="20"/>
        </w:rPr>
        <w:t>MARCOS MAURILIO PEREIRA</w:t>
      </w:r>
    </w:p>
    <w:p w:rsidR="00A1566D" w:rsidRDefault="00A1566D" w:rsidP="00595EDB">
      <w:pPr>
        <w:tabs>
          <w:tab w:val="left" w:pos="1134"/>
        </w:tabs>
        <w:jc w:val="center"/>
        <w:rPr>
          <w:sz w:val="20"/>
        </w:rPr>
      </w:pPr>
    </w:p>
    <w:p w:rsidR="00A1566D" w:rsidRPr="00BF7A66" w:rsidRDefault="00A1566D" w:rsidP="00595EDB">
      <w:pPr>
        <w:tabs>
          <w:tab w:val="left" w:pos="1134"/>
        </w:tabs>
        <w:jc w:val="center"/>
        <w:rPr>
          <w:sz w:val="20"/>
        </w:rPr>
      </w:pP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74" w:rsidRDefault="005B1574" w:rsidP="005B1574">
      <w:r>
        <w:separator/>
      </w:r>
    </w:p>
  </w:endnote>
  <w:endnote w:type="continuationSeparator" w:id="0">
    <w:p w:rsidR="005B1574" w:rsidRDefault="005B1574" w:rsidP="005B157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5B1574">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5B1574">
                <w:pPr>
                  <w:pStyle w:val="Rodap"/>
                </w:pPr>
                <w:r>
                  <w:rPr>
                    <w:rStyle w:val="Nmerodepgina"/>
                  </w:rPr>
                  <w:fldChar w:fldCharType="begin"/>
                </w:r>
                <w:r w:rsidR="0098421D">
                  <w:rPr>
                    <w:rStyle w:val="Nmerodepgina"/>
                  </w:rPr>
                  <w:instrText xml:space="preserve"> PAGE </w:instrText>
                </w:r>
                <w:r>
                  <w:rPr>
                    <w:rStyle w:val="Nmerodepgina"/>
                  </w:rPr>
                  <w:fldChar w:fldCharType="separate"/>
                </w:r>
                <w:r w:rsidR="00A1566D">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74" w:rsidRDefault="005B1574" w:rsidP="005B1574">
      <w:r>
        <w:separator/>
      </w:r>
    </w:p>
  </w:footnote>
  <w:footnote w:type="continuationSeparator" w:id="0">
    <w:p w:rsidR="005B1574" w:rsidRDefault="005B1574" w:rsidP="005B1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5B1574" w:rsidP="0098421D">
    <w:pPr>
      <w:ind w:left="1134"/>
      <w:rPr>
        <w:sz w:val="20"/>
      </w:rPr>
    </w:pPr>
    <w:r w:rsidRPr="005B15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97EAE"/>
    <w:rsid w:val="002C34BB"/>
    <w:rsid w:val="0031085E"/>
    <w:rsid w:val="003451DF"/>
    <w:rsid w:val="00361AF6"/>
    <w:rsid w:val="00375552"/>
    <w:rsid w:val="003A58AC"/>
    <w:rsid w:val="003C2BB6"/>
    <w:rsid w:val="003D6D59"/>
    <w:rsid w:val="00451822"/>
    <w:rsid w:val="00481181"/>
    <w:rsid w:val="004C7FED"/>
    <w:rsid w:val="00567EF2"/>
    <w:rsid w:val="00595EDB"/>
    <w:rsid w:val="005B1574"/>
    <w:rsid w:val="00643006"/>
    <w:rsid w:val="00660F6C"/>
    <w:rsid w:val="006C33D1"/>
    <w:rsid w:val="006F3A2E"/>
    <w:rsid w:val="0071278B"/>
    <w:rsid w:val="00715B85"/>
    <w:rsid w:val="00754845"/>
    <w:rsid w:val="00766510"/>
    <w:rsid w:val="007713A1"/>
    <w:rsid w:val="0079340E"/>
    <w:rsid w:val="0079641C"/>
    <w:rsid w:val="00810FBE"/>
    <w:rsid w:val="0081133F"/>
    <w:rsid w:val="008A1EE8"/>
    <w:rsid w:val="008A47FE"/>
    <w:rsid w:val="008E5053"/>
    <w:rsid w:val="0092043A"/>
    <w:rsid w:val="009623C6"/>
    <w:rsid w:val="00963FF5"/>
    <w:rsid w:val="0098421D"/>
    <w:rsid w:val="009A18EF"/>
    <w:rsid w:val="009B5729"/>
    <w:rsid w:val="009C64CF"/>
    <w:rsid w:val="009D7FC8"/>
    <w:rsid w:val="009F2051"/>
    <w:rsid w:val="00A1566D"/>
    <w:rsid w:val="00A37263"/>
    <w:rsid w:val="00A41DF1"/>
    <w:rsid w:val="00A7167D"/>
    <w:rsid w:val="00A73FF0"/>
    <w:rsid w:val="00A81EA5"/>
    <w:rsid w:val="00AA7253"/>
    <w:rsid w:val="00AB61EE"/>
    <w:rsid w:val="00B020A0"/>
    <w:rsid w:val="00B357EE"/>
    <w:rsid w:val="00B426F0"/>
    <w:rsid w:val="00B61320"/>
    <w:rsid w:val="00BE7F53"/>
    <w:rsid w:val="00C44A15"/>
    <w:rsid w:val="00C77F3C"/>
    <w:rsid w:val="00C8203C"/>
    <w:rsid w:val="00D1425D"/>
    <w:rsid w:val="00D46D77"/>
    <w:rsid w:val="00D73BC3"/>
    <w:rsid w:val="00DF27B5"/>
    <w:rsid w:val="00DF3894"/>
    <w:rsid w:val="00E65F18"/>
    <w:rsid w:val="00EA6CEB"/>
    <w:rsid w:val="00F11DFB"/>
    <w:rsid w:val="00F310CC"/>
    <w:rsid w:val="00F61CFF"/>
    <w:rsid w:val="00F63734"/>
    <w:rsid w:val="00F77BD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2565</Words>
  <Characters>13853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2016-09-19T18:49:00Z</dcterms:created>
  <dcterms:modified xsi:type="dcterms:W3CDTF">2016-09-19T19:07:00Z</dcterms:modified>
</cp:coreProperties>
</file>