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4A7B01">
        <w:rPr>
          <w:b/>
          <w:sz w:val="20"/>
          <w:lang w:eastAsia="pt-BR"/>
        </w:rPr>
        <w:t>/2016/FMS/12</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873645" w:rsidRDefault="00595EDB" w:rsidP="00873645">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MATERIAIS E EQUIPAMENTOS DE ENFERMAGEM DESTINADOS À MANUTENÇÃO DAS ATIVIDADES DO PRONTO ATENDIMENTO – PA, ESF’s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social(is),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873645" w:rsidP="0098421D">
            <w:pPr>
              <w:suppressAutoHyphens w:val="0"/>
              <w:autoSpaceDE w:val="0"/>
              <w:autoSpaceDN w:val="0"/>
              <w:adjustRightInd w:val="0"/>
              <w:rPr>
                <w:b/>
                <w:sz w:val="20"/>
                <w:lang w:eastAsia="pt-BR"/>
              </w:rPr>
            </w:pPr>
            <w:r>
              <w:rPr>
                <w:b/>
                <w:sz w:val="20"/>
                <w:lang w:eastAsia="pt-BR"/>
              </w:rPr>
              <w:t>ODONTOMEDI – PROD ODONT. E HOSPITALARES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873645" w:rsidP="0098421D">
            <w:pPr>
              <w:suppressAutoHyphens w:val="0"/>
              <w:autoSpaceDE w:val="0"/>
              <w:autoSpaceDN w:val="0"/>
              <w:adjustRightInd w:val="0"/>
              <w:rPr>
                <w:b/>
                <w:sz w:val="20"/>
                <w:lang w:eastAsia="pt-BR"/>
              </w:rPr>
            </w:pPr>
            <w:r>
              <w:rPr>
                <w:b/>
                <w:sz w:val="20"/>
                <w:lang w:eastAsia="pt-BR"/>
              </w:rPr>
              <w:t>AV. LUIZ ANTONIO FAEDO, 1612 – 46-3524-1834</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873645" w:rsidP="0098421D">
            <w:pPr>
              <w:suppressAutoHyphens w:val="0"/>
              <w:autoSpaceDE w:val="0"/>
              <w:autoSpaceDN w:val="0"/>
              <w:adjustRightInd w:val="0"/>
              <w:rPr>
                <w:b/>
                <w:sz w:val="20"/>
                <w:lang w:eastAsia="pt-BR"/>
              </w:rPr>
            </w:pPr>
            <w:r>
              <w:rPr>
                <w:b/>
                <w:sz w:val="20"/>
                <w:lang w:eastAsia="pt-BR"/>
              </w:rPr>
              <w:t>06.194.440/0001-03</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873645" w:rsidP="0098421D">
            <w:pPr>
              <w:suppressAutoHyphens w:val="0"/>
              <w:autoSpaceDE w:val="0"/>
              <w:autoSpaceDN w:val="0"/>
              <w:adjustRightInd w:val="0"/>
              <w:rPr>
                <w:b/>
                <w:sz w:val="20"/>
                <w:lang w:eastAsia="pt-BR"/>
              </w:rPr>
            </w:pPr>
            <w:r>
              <w:rPr>
                <w:b/>
                <w:sz w:val="20"/>
                <w:lang w:eastAsia="pt-BR"/>
              </w:rPr>
              <w:t>ROMANO ANTONIO POSSATTO</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873645" w:rsidP="0098421D">
            <w:pPr>
              <w:suppressAutoHyphens w:val="0"/>
              <w:autoSpaceDE w:val="0"/>
              <w:autoSpaceDN w:val="0"/>
              <w:adjustRightInd w:val="0"/>
              <w:rPr>
                <w:b/>
                <w:sz w:val="20"/>
                <w:lang w:eastAsia="pt-BR"/>
              </w:rPr>
            </w:pPr>
            <w:r>
              <w:rPr>
                <w:b/>
                <w:sz w:val="20"/>
                <w:lang w:eastAsia="pt-BR"/>
              </w:rPr>
              <w:t>RUA NAIR, 282 – PEROLA DO OESTE/PR</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873645" w:rsidP="0098421D">
            <w:pPr>
              <w:suppressAutoHyphens w:val="0"/>
              <w:autoSpaceDE w:val="0"/>
              <w:autoSpaceDN w:val="0"/>
              <w:adjustRightInd w:val="0"/>
              <w:rPr>
                <w:b/>
                <w:sz w:val="20"/>
                <w:lang w:eastAsia="pt-BR"/>
              </w:rPr>
            </w:pPr>
            <w:r>
              <w:rPr>
                <w:b/>
                <w:sz w:val="20"/>
                <w:lang w:eastAsia="pt-BR"/>
              </w:rPr>
              <w:t>196.017.609-97</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873645" w:rsidP="0098421D">
            <w:pPr>
              <w:suppressAutoHyphens w:val="0"/>
              <w:autoSpaceDE w:val="0"/>
              <w:autoSpaceDN w:val="0"/>
              <w:adjustRightInd w:val="0"/>
              <w:rPr>
                <w:b/>
                <w:sz w:val="20"/>
                <w:lang w:eastAsia="pt-BR"/>
              </w:rPr>
            </w:pPr>
            <w:r>
              <w:rPr>
                <w:b/>
                <w:sz w:val="20"/>
                <w:lang w:eastAsia="pt-BR"/>
              </w:rPr>
              <w:t>3.719.810-2</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276"/>
        <w:gridCol w:w="1134"/>
        <w:gridCol w:w="1275"/>
      </w:tblGrid>
      <w:tr w:rsidR="00595EDB" w:rsidRPr="00BF7A66" w:rsidTr="00F27BE4">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276"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1134"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F27BE4">
        <w:tc>
          <w:tcPr>
            <w:tcW w:w="672" w:type="dxa"/>
            <w:vAlign w:val="center"/>
          </w:tcPr>
          <w:p w:rsidR="00595EDB" w:rsidRPr="00BF7A66" w:rsidRDefault="00595EDB" w:rsidP="0098421D">
            <w:pPr>
              <w:snapToGrid w:val="0"/>
              <w:jc w:val="center"/>
              <w:rPr>
                <w:sz w:val="20"/>
                <w:lang w:val="es-ES_tradnl"/>
              </w:rPr>
            </w:pPr>
            <w:r w:rsidRPr="00BF7A66">
              <w:rPr>
                <w:sz w:val="20"/>
                <w:lang w:val="es-ES_tradnl"/>
              </w:rPr>
              <w:t>3</w:t>
            </w:r>
          </w:p>
        </w:tc>
        <w:tc>
          <w:tcPr>
            <w:tcW w:w="4395" w:type="dxa"/>
            <w:vAlign w:val="center"/>
          </w:tcPr>
          <w:p w:rsidR="00595EDB" w:rsidRPr="00BF7A66" w:rsidRDefault="00595EDB" w:rsidP="0098421D">
            <w:pPr>
              <w:rPr>
                <w:sz w:val="20"/>
              </w:rPr>
            </w:pPr>
            <w:r w:rsidRPr="00BF7A66">
              <w:rPr>
                <w:sz w:val="20"/>
              </w:rPr>
              <w:t>Água destilada - ampola de 10 ml – com 100 unidades</w:t>
            </w:r>
          </w:p>
        </w:tc>
        <w:tc>
          <w:tcPr>
            <w:tcW w:w="850" w:type="dxa"/>
            <w:vAlign w:val="center"/>
          </w:tcPr>
          <w:p w:rsidR="00595EDB" w:rsidRPr="00BF7A66" w:rsidRDefault="00595EDB" w:rsidP="0098421D">
            <w:pPr>
              <w:jc w:val="right"/>
              <w:rPr>
                <w:sz w:val="20"/>
              </w:rPr>
            </w:pPr>
            <w:r w:rsidRPr="00BF7A66">
              <w:rPr>
                <w:sz w:val="20"/>
              </w:rPr>
              <w:t>70</w:t>
            </w:r>
          </w:p>
        </w:tc>
        <w:tc>
          <w:tcPr>
            <w:tcW w:w="709" w:type="dxa"/>
            <w:vAlign w:val="center"/>
          </w:tcPr>
          <w:p w:rsidR="00595EDB" w:rsidRPr="00BF7A66" w:rsidRDefault="00595EDB" w:rsidP="0098421D">
            <w:pPr>
              <w:jc w:val="center"/>
              <w:rPr>
                <w:sz w:val="20"/>
              </w:rPr>
            </w:pPr>
            <w:r w:rsidRPr="00BF7A66">
              <w:rPr>
                <w:sz w:val="20"/>
              </w:rPr>
              <w:t>cx</w:t>
            </w:r>
          </w:p>
        </w:tc>
        <w:tc>
          <w:tcPr>
            <w:tcW w:w="1276" w:type="dxa"/>
            <w:vAlign w:val="center"/>
          </w:tcPr>
          <w:p w:rsidR="00595EDB" w:rsidRPr="00BF7A66" w:rsidRDefault="00D22D3E" w:rsidP="0098421D">
            <w:pPr>
              <w:pStyle w:val="WW-Padro"/>
              <w:autoSpaceDE/>
              <w:snapToGrid w:val="0"/>
              <w:rPr>
                <w:rFonts w:ascii="Arial" w:hAnsi="Arial" w:cs="Arial"/>
                <w:bCs/>
                <w:szCs w:val="20"/>
                <w:lang w:val="es-ES_tradnl"/>
              </w:rPr>
            </w:pPr>
            <w:r>
              <w:rPr>
                <w:rFonts w:ascii="Arial" w:hAnsi="Arial" w:cs="Arial"/>
                <w:bCs/>
                <w:szCs w:val="20"/>
                <w:lang w:val="es-ES_tradnl"/>
              </w:rPr>
              <w:t>SAMTEC</w:t>
            </w:r>
          </w:p>
        </w:tc>
        <w:tc>
          <w:tcPr>
            <w:tcW w:w="1134" w:type="dxa"/>
            <w:vAlign w:val="center"/>
          </w:tcPr>
          <w:p w:rsidR="00595EDB" w:rsidRPr="00BF7A66" w:rsidRDefault="00D22D3E" w:rsidP="0098421D">
            <w:pPr>
              <w:pStyle w:val="WW-Padro"/>
              <w:autoSpaceDE/>
              <w:snapToGrid w:val="0"/>
              <w:jc w:val="right"/>
              <w:rPr>
                <w:rFonts w:ascii="Arial" w:hAnsi="Arial" w:cs="Arial"/>
                <w:bCs/>
                <w:szCs w:val="20"/>
                <w:lang w:val="es-ES_tradnl"/>
              </w:rPr>
            </w:pPr>
            <w:r>
              <w:rPr>
                <w:rFonts w:ascii="Arial" w:hAnsi="Arial" w:cs="Arial"/>
                <w:bCs/>
                <w:szCs w:val="20"/>
                <w:lang w:val="es-ES_tradnl"/>
              </w:rPr>
              <w:t>19,05</w:t>
            </w:r>
          </w:p>
        </w:tc>
        <w:tc>
          <w:tcPr>
            <w:tcW w:w="1275" w:type="dxa"/>
            <w:vAlign w:val="center"/>
          </w:tcPr>
          <w:p w:rsidR="00595EDB" w:rsidRPr="00BF7A66" w:rsidRDefault="00D22D3E" w:rsidP="0098421D">
            <w:pPr>
              <w:snapToGrid w:val="0"/>
              <w:jc w:val="right"/>
              <w:rPr>
                <w:sz w:val="20"/>
                <w:lang w:val="es-ES_tradnl"/>
              </w:rPr>
            </w:pPr>
            <w:r>
              <w:rPr>
                <w:sz w:val="20"/>
                <w:lang w:val="es-ES_tradnl"/>
              </w:rPr>
              <w:t>1.333,50</w:t>
            </w:r>
          </w:p>
        </w:tc>
      </w:tr>
      <w:tr w:rsidR="00595EDB" w:rsidRPr="00BF7A66" w:rsidTr="00F27BE4">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5</w:t>
            </w:r>
          </w:p>
        </w:tc>
        <w:tc>
          <w:tcPr>
            <w:tcW w:w="4395" w:type="dxa"/>
            <w:vAlign w:val="center"/>
          </w:tcPr>
          <w:p w:rsidR="00595EDB" w:rsidRPr="00BF7A66" w:rsidRDefault="00595EDB" w:rsidP="0098421D">
            <w:pPr>
              <w:rPr>
                <w:sz w:val="20"/>
              </w:rPr>
            </w:pPr>
            <w:r w:rsidRPr="00BF7A66">
              <w:rPr>
                <w:sz w:val="20"/>
              </w:rPr>
              <w:t>Água destilada – galão com 05 litros</w:t>
            </w:r>
          </w:p>
        </w:tc>
        <w:tc>
          <w:tcPr>
            <w:tcW w:w="850" w:type="dxa"/>
            <w:vAlign w:val="center"/>
          </w:tcPr>
          <w:p w:rsidR="00595EDB" w:rsidRPr="00BF7A66" w:rsidRDefault="00595EDB" w:rsidP="0098421D">
            <w:pPr>
              <w:jc w:val="right"/>
              <w:rPr>
                <w:sz w:val="20"/>
              </w:rPr>
            </w:pPr>
            <w:r w:rsidRPr="00BF7A66">
              <w:rPr>
                <w:sz w:val="20"/>
              </w:rPr>
              <w:t>3.600</w:t>
            </w:r>
          </w:p>
        </w:tc>
        <w:tc>
          <w:tcPr>
            <w:tcW w:w="709" w:type="dxa"/>
            <w:vAlign w:val="center"/>
          </w:tcPr>
          <w:p w:rsidR="00595EDB" w:rsidRPr="00BF7A66" w:rsidRDefault="00595EDB" w:rsidP="0098421D">
            <w:pPr>
              <w:jc w:val="center"/>
              <w:rPr>
                <w:sz w:val="20"/>
              </w:rPr>
            </w:pPr>
            <w:r w:rsidRPr="00BF7A66">
              <w:rPr>
                <w:sz w:val="20"/>
              </w:rPr>
              <w:t>gl</w:t>
            </w:r>
          </w:p>
        </w:tc>
        <w:tc>
          <w:tcPr>
            <w:tcW w:w="1276" w:type="dxa"/>
            <w:vAlign w:val="center"/>
          </w:tcPr>
          <w:p w:rsidR="00595EDB" w:rsidRPr="00BF7A66" w:rsidRDefault="00D22D3E" w:rsidP="0098421D">
            <w:pPr>
              <w:snapToGrid w:val="0"/>
              <w:rPr>
                <w:sz w:val="20"/>
                <w:lang w:val="es-ES_tradnl"/>
              </w:rPr>
            </w:pPr>
            <w:r>
              <w:rPr>
                <w:sz w:val="20"/>
                <w:lang w:val="es-ES_tradnl"/>
              </w:rPr>
              <w:t>SSPLUS</w:t>
            </w:r>
          </w:p>
        </w:tc>
        <w:tc>
          <w:tcPr>
            <w:tcW w:w="1134" w:type="dxa"/>
            <w:vAlign w:val="center"/>
          </w:tcPr>
          <w:p w:rsidR="00595EDB" w:rsidRPr="00BF7A66" w:rsidRDefault="00D22D3E" w:rsidP="0098421D">
            <w:pPr>
              <w:snapToGrid w:val="0"/>
              <w:jc w:val="right"/>
              <w:rPr>
                <w:sz w:val="20"/>
                <w:lang w:val="es-ES_tradnl"/>
              </w:rPr>
            </w:pPr>
            <w:r>
              <w:rPr>
                <w:sz w:val="20"/>
                <w:lang w:val="es-ES_tradnl"/>
              </w:rPr>
              <w:t>5,84</w:t>
            </w:r>
          </w:p>
        </w:tc>
        <w:tc>
          <w:tcPr>
            <w:tcW w:w="1275" w:type="dxa"/>
            <w:vAlign w:val="center"/>
          </w:tcPr>
          <w:p w:rsidR="00595EDB" w:rsidRPr="00BF7A66" w:rsidRDefault="00D22D3E" w:rsidP="0098421D">
            <w:pPr>
              <w:snapToGrid w:val="0"/>
              <w:jc w:val="right"/>
              <w:rPr>
                <w:sz w:val="20"/>
                <w:lang w:val="es-ES_tradnl"/>
              </w:rPr>
            </w:pPr>
            <w:r>
              <w:rPr>
                <w:sz w:val="20"/>
                <w:lang w:val="es-ES_tradnl"/>
              </w:rPr>
              <w:t>21.024,00</w:t>
            </w:r>
          </w:p>
        </w:tc>
      </w:tr>
      <w:tr w:rsidR="00595EDB" w:rsidRPr="00BF7A66" w:rsidTr="00F27BE4">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w:t>
            </w:r>
          </w:p>
        </w:tc>
        <w:tc>
          <w:tcPr>
            <w:tcW w:w="4395" w:type="dxa"/>
            <w:vAlign w:val="center"/>
          </w:tcPr>
          <w:p w:rsidR="00595EDB" w:rsidRPr="00BF7A66" w:rsidRDefault="00595EDB" w:rsidP="0098421D">
            <w:pPr>
              <w:rPr>
                <w:sz w:val="20"/>
              </w:rPr>
            </w:pPr>
            <w:r w:rsidRPr="00BF7A66">
              <w:rPr>
                <w:sz w:val="20"/>
              </w:rPr>
              <w:t xml:space="preserve">Aspirador cirúrgico portátil para líquidos/sangue/secreções. Equipado com motor elétrico, tensão de alimentação: 220 V, potência mínima 150 VA, compressor isento de óleo tipo diafragma, frasco coletor: capacidade mínima 1.0 litro, vácuo máximo 650 mHg, vazão livre mínimo 15 lt/min, válvula de segurança contra transbordamento do frasco, ruído máximo 65 dB. Equipamento completo com tubos e conexões. </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center"/>
              <w:rPr>
                <w:sz w:val="20"/>
              </w:rPr>
            </w:pPr>
            <w:r w:rsidRPr="00BF7A66">
              <w:rPr>
                <w:sz w:val="20"/>
              </w:rPr>
              <w:t>15</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964D06" w:rsidP="0098421D">
            <w:pPr>
              <w:snapToGrid w:val="0"/>
              <w:rPr>
                <w:sz w:val="20"/>
                <w:lang w:val="pt-PT"/>
              </w:rPr>
            </w:pPr>
            <w:r>
              <w:rPr>
                <w:sz w:val="20"/>
                <w:lang w:val="pt-PT"/>
              </w:rPr>
              <w:t>NS</w:t>
            </w:r>
          </w:p>
        </w:tc>
        <w:tc>
          <w:tcPr>
            <w:tcW w:w="1134" w:type="dxa"/>
            <w:vAlign w:val="center"/>
          </w:tcPr>
          <w:p w:rsidR="00595EDB" w:rsidRPr="00BF7A66" w:rsidRDefault="00964D06" w:rsidP="0098421D">
            <w:pPr>
              <w:snapToGrid w:val="0"/>
              <w:jc w:val="right"/>
              <w:rPr>
                <w:sz w:val="20"/>
                <w:lang w:val="pt-PT"/>
              </w:rPr>
            </w:pPr>
            <w:r>
              <w:rPr>
                <w:sz w:val="20"/>
                <w:lang w:val="pt-PT"/>
              </w:rPr>
              <w:t>299,00</w:t>
            </w:r>
          </w:p>
        </w:tc>
        <w:tc>
          <w:tcPr>
            <w:tcW w:w="1275" w:type="dxa"/>
            <w:vAlign w:val="center"/>
          </w:tcPr>
          <w:p w:rsidR="00595EDB" w:rsidRPr="00BF7A66" w:rsidRDefault="00964D06" w:rsidP="0098421D">
            <w:pPr>
              <w:snapToGrid w:val="0"/>
              <w:jc w:val="right"/>
              <w:rPr>
                <w:sz w:val="20"/>
                <w:lang w:val="pt-PT"/>
              </w:rPr>
            </w:pPr>
            <w:r>
              <w:rPr>
                <w:sz w:val="20"/>
                <w:lang w:val="pt-PT"/>
              </w:rPr>
              <w:t>4.485,00</w:t>
            </w:r>
          </w:p>
        </w:tc>
      </w:tr>
      <w:tr w:rsidR="00595EDB" w:rsidRPr="00BF7A66" w:rsidTr="00F27BE4">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82</w:t>
            </w:r>
          </w:p>
        </w:tc>
        <w:tc>
          <w:tcPr>
            <w:tcW w:w="4395" w:type="dxa"/>
            <w:vAlign w:val="center"/>
          </w:tcPr>
          <w:p w:rsidR="00595EDB" w:rsidRPr="00BF7A66" w:rsidRDefault="00595EDB" w:rsidP="0098421D">
            <w:pPr>
              <w:rPr>
                <w:sz w:val="20"/>
                <w:lang w:eastAsia="pt-BR"/>
              </w:rPr>
            </w:pPr>
            <w:r w:rsidRPr="00BF7A66">
              <w:rPr>
                <w:sz w:val="20"/>
                <w:lang w:eastAsia="pt-BR"/>
              </w:rPr>
              <w:t xml:space="preserve">Conjunto para umidificação oxigenoterapia - Tampa de nylon injetado, frasco plástico de 250 ml, extensão de PVC atóxico de 1,20 m, intermediário para máscara, conexão de entrada 9/16 x 18 fios e máscara plástica adulto, com porca de nylon.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A029BD" w:rsidP="0098421D">
            <w:pPr>
              <w:snapToGrid w:val="0"/>
              <w:rPr>
                <w:sz w:val="20"/>
                <w:lang w:val="pt-PT"/>
              </w:rPr>
            </w:pPr>
            <w:r>
              <w:rPr>
                <w:sz w:val="20"/>
                <w:lang w:val="pt-PT"/>
              </w:rPr>
              <w:t>UNITEC</w:t>
            </w:r>
          </w:p>
        </w:tc>
        <w:tc>
          <w:tcPr>
            <w:tcW w:w="1134" w:type="dxa"/>
            <w:vAlign w:val="center"/>
          </w:tcPr>
          <w:p w:rsidR="00595EDB" w:rsidRPr="00BF7A66" w:rsidRDefault="00A029BD" w:rsidP="0098421D">
            <w:pPr>
              <w:snapToGrid w:val="0"/>
              <w:jc w:val="right"/>
              <w:rPr>
                <w:sz w:val="20"/>
                <w:lang w:val="pt-PT"/>
              </w:rPr>
            </w:pPr>
            <w:r>
              <w:rPr>
                <w:sz w:val="20"/>
                <w:lang w:val="pt-PT"/>
              </w:rPr>
              <w:t>19,68</w:t>
            </w:r>
          </w:p>
        </w:tc>
        <w:tc>
          <w:tcPr>
            <w:tcW w:w="1275" w:type="dxa"/>
            <w:vAlign w:val="center"/>
          </w:tcPr>
          <w:p w:rsidR="00595EDB" w:rsidRPr="00BF7A66" w:rsidRDefault="00A029BD" w:rsidP="0098421D">
            <w:pPr>
              <w:snapToGrid w:val="0"/>
              <w:jc w:val="right"/>
              <w:rPr>
                <w:sz w:val="20"/>
                <w:lang w:val="pt-PT"/>
              </w:rPr>
            </w:pPr>
            <w:r>
              <w:rPr>
                <w:sz w:val="20"/>
                <w:lang w:val="pt-PT"/>
              </w:rPr>
              <w:t>984,00</w:t>
            </w:r>
          </w:p>
        </w:tc>
      </w:tr>
      <w:tr w:rsidR="00595EDB" w:rsidRPr="00BF7A66" w:rsidTr="00F27BE4">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93</w:t>
            </w:r>
          </w:p>
        </w:tc>
        <w:tc>
          <w:tcPr>
            <w:tcW w:w="4395" w:type="dxa"/>
            <w:vAlign w:val="center"/>
          </w:tcPr>
          <w:p w:rsidR="00595EDB" w:rsidRPr="00BF7A66" w:rsidRDefault="00595EDB" w:rsidP="0098421D">
            <w:pPr>
              <w:rPr>
                <w:sz w:val="20"/>
                <w:lang w:eastAsia="pt-BR"/>
              </w:rPr>
            </w:pPr>
            <w:r w:rsidRPr="00BF7A66">
              <w:rPr>
                <w:sz w:val="20"/>
                <w:lang w:eastAsia="pt-BR"/>
              </w:rPr>
              <w:t xml:space="preserve">Detector de batimentos cardio fetal de mesa, com cabo extensor para ouvir, alimentação bi volt (110/220 V), de fácil manuseio, com controle de tonalidade e filtragem de ruídos, suporte lateral para guarda do transdutor, regulagem de volume, condutor a cristal. Auscultação a partir da décima segunda semana de gestação. </w:t>
            </w:r>
          </w:p>
          <w:p w:rsidR="00595EDB" w:rsidRPr="00BF7A66" w:rsidRDefault="00595EDB" w:rsidP="0098421D">
            <w:pPr>
              <w:rPr>
                <w:sz w:val="20"/>
                <w:lang w:eastAsia="pt-BR"/>
              </w:rPr>
            </w:pPr>
            <w:r w:rsidRPr="00BF7A66">
              <w:rPr>
                <w:sz w:val="20"/>
                <w:lang w:eastAsia="pt-BR"/>
              </w:rPr>
              <w:t>Registro na ANVISA.</w:t>
            </w:r>
          </w:p>
        </w:tc>
        <w:tc>
          <w:tcPr>
            <w:tcW w:w="850" w:type="dxa"/>
            <w:vAlign w:val="center"/>
          </w:tcPr>
          <w:p w:rsidR="00595EDB" w:rsidRPr="00BF7A66" w:rsidRDefault="00595EDB" w:rsidP="0098421D">
            <w:pPr>
              <w:jc w:val="right"/>
              <w:rPr>
                <w:sz w:val="20"/>
              </w:rPr>
            </w:pPr>
            <w:r w:rsidRPr="00BF7A66">
              <w:rPr>
                <w:sz w:val="20"/>
              </w:rPr>
              <w:t>12</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A029BD" w:rsidP="0098421D">
            <w:pPr>
              <w:snapToGrid w:val="0"/>
              <w:rPr>
                <w:sz w:val="20"/>
                <w:lang w:val="pt-PT"/>
              </w:rPr>
            </w:pPr>
            <w:r>
              <w:rPr>
                <w:sz w:val="20"/>
                <w:lang w:val="pt-PT"/>
              </w:rPr>
              <w:t>MEDPEJ-DF700</w:t>
            </w:r>
          </w:p>
        </w:tc>
        <w:tc>
          <w:tcPr>
            <w:tcW w:w="1134" w:type="dxa"/>
            <w:vAlign w:val="center"/>
          </w:tcPr>
          <w:p w:rsidR="00595EDB" w:rsidRPr="00BF7A66" w:rsidRDefault="00A029BD" w:rsidP="0098421D">
            <w:pPr>
              <w:snapToGrid w:val="0"/>
              <w:jc w:val="right"/>
              <w:rPr>
                <w:sz w:val="20"/>
                <w:lang w:val="pt-PT"/>
              </w:rPr>
            </w:pPr>
            <w:r>
              <w:rPr>
                <w:sz w:val="20"/>
                <w:lang w:val="pt-PT"/>
              </w:rPr>
              <w:t>550,00</w:t>
            </w:r>
          </w:p>
        </w:tc>
        <w:tc>
          <w:tcPr>
            <w:tcW w:w="1275" w:type="dxa"/>
            <w:vAlign w:val="center"/>
          </w:tcPr>
          <w:p w:rsidR="00595EDB" w:rsidRPr="00BF7A66" w:rsidRDefault="00A029BD" w:rsidP="0098421D">
            <w:pPr>
              <w:snapToGrid w:val="0"/>
              <w:jc w:val="right"/>
              <w:rPr>
                <w:sz w:val="20"/>
                <w:lang w:val="pt-PT"/>
              </w:rPr>
            </w:pPr>
            <w:r>
              <w:rPr>
                <w:sz w:val="20"/>
                <w:lang w:val="pt-PT"/>
              </w:rPr>
              <w:t>6.600,00</w:t>
            </w:r>
          </w:p>
        </w:tc>
      </w:tr>
      <w:tr w:rsidR="00595EDB" w:rsidRPr="00BF7A66" w:rsidTr="00F27BE4">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110</w:t>
            </w:r>
          </w:p>
        </w:tc>
        <w:tc>
          <w:tcPr>
            <w:tcW w:w="4395" w:type="dxa"/>
            <w:vAlign w:val="center"/>
          </w:tcPr>
          <w:p w:rsidR="00595EDB" w:rsidRPr="00BF7A66" w:rsidRDefault="00595EDB" w:rsidP="0098421D">
            <w:pPr>
              <w:rPr>
                <w:sz w:val="20"/>
                <w:lang w:eastAsia="pt-BR"/>
              </w:rPr>
            </w:pPr>
            <w:r w:rsidRPr="00BF7A66">
              <w:rPr>
                <w:sz w:val="20"/>
                <w:lang w:eastAsia="pt-BR"/>
              </w:rPr>
              <w:t xml:space="preserve">Equipo p/ infusão solução parenteral </w:t>
            </w:r>
            <w:r w:rsidRPr="00BF7A66">
              <w:rPr>
                <w:b/>
                <w:bCs w:val="0"/>
                <w:sz w:val="20"/>
                <w:lang w:eastAsia="pt-BR"/>
              </w:rPr>
              <w:t>ma</w:t>
            </w:r>
            <w:r w:rsidRPr="00BF7A66">
              <w:rPr>
                <w:b/>
                <w:sz w:val="20"/>
                <w:lang w:eastAsia="pt-BR"/>
              </w:rPr>
              <w:t>cro</w:t>
            </w:r>
            <w:r w:rsidRPr="00BF7A66">
              <w:rPr>
                <w:sz w:val="20"/>
                <w:lang w:eastAsia="pt-BR"/>
              </w:rPr>
              <w:t xml:space="preserve"> gotas de plástico descartável – com respiro.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4.000</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A029BD" w:rsidP="0098421D">
            <w:pPr>
              <w:snapToGrid w:val="0"/>
              <w:rPr>
                <w:sz w:val="20"/>
                <w:lang w:val="pt-PT"/>
              </w:rPr>
            </w:pPr>
            <w:r>
              <w:rPr>
                <w:sz w:val="20"/>
                <w:lang w:val="pt-PT"/>
              </w:rPr>
              <w:t>LABOR IMPOR</w:t>
            </w:r>
          </w:p>
        </w:tc>
        <w:tc>
          <w:tcPr>
            <w:tcW w:w="1134" w:type="dxa"/>
            <w:vAlign w:val="center"/>
          </w:tcPr>
          <w:p w:rsidR="00595EDB" w:rsidRPr="00BF7A66" w:rsidRDefault="00A029BD" w:rsidP="0098421D">
            <w:pPr>
              <w:snapToGrid w:val="0"/>
              <w:jc w:val="right"/>
              <w:rPr>
                <w:sz w:val="20"/>
                <w:lang w:val="pt-PT"/>
              </w:rPr>
            </w:pPr>
            <w:r>
              <w:rPr>
                <w:sz w:val="20"/>
                <w:lang w:val="pt-PT"/>
              </w:rPr>
              <w:t>1,20</w:t>
            </w:r>
          </w:p>
        </w:tc>
        <w:tc>
          <w:tcPr>
            <w:tcW w:w="1275" w:type="dxa"/>
            <w:vAlign w:val="center"/>
          </w:tcPr>
          <w:p w:rsidR="00595EDB" w:rsidRPr="00BF7A66" w:rsidRDefault="00A029BD" w:rsidP="0098421D">
            <w:pPr>
              <w:snapToGrid w:val="0"/>
              <w:jc w:val="right"/>
              <w:rPr>
                <w:sz w:val="20"/>
                <w:lang w:val="pt-PT"/>
              </w:rPr>
            </w:pPr>
            <w:r>
              <w:rPr>
                <w:sz w:val="20"/>
                <w:lang w:val="pt-PT"/>
              </w:rPr>
              <w:t>4.800,00</w:t>
            </w:r>
          </w:p>
        </w:tc>
      </w:tr>
      <w:tr w:rsidR="00595EDB" w:rsidRPr="00BF7A66" w:rsidTr="00F27BE4">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111</w:t>
            </w:r>
          </w:p>
        </w:tc>
        <w:tc>
          <w:tcPr>
            <w:tcW w:w="4395" w:type="dxa"/>
            <w:vAlign w:val="center"/>
          </w:tcPr>
          <w:p w:rsidR="00595EDB" w:rsidRPr="00BF7A66" w:rsidRDefault="00595EDB" w:rsidP="0098421D">
            <w:pPr>
              <w:rPr>
                <w:sz w:val="20"/>
                <w:lang w:eastAsia="pt-BR"/>
              </w:rPr>
            </w:pPr>
            <w:r w:rsidRPr="00BF7A66">
              <w:rPr>
                <w:sz w:val="20"/>
                <w:lang w:eastAsia="pt-BR"/>
              </w:rPr>
              <w:t xml:space="preserve">Equipo p/ infusão solução parenteral </w:t>
            </w:r>
            <w:r w:rsidRPr="00BF7A66">
              <w:rPr>
                <w:b/>
                <w:bCs w:val="0"/>
                <w:sz w:val="20"/>
                <w:lang w:eastAsia="pt-BR"/>
              </w:rPr>
              <w:t>mi</w:t>
            </w:r>
            <w:r w:rsidRPr="00BF7A66">
              <w:rPr>
                <w:b/>
                <w:sz w:val="20"/>
                <w:lang w:eastAsia="pt-BR"/>
              </w:rPr>
              <w:t>cro</w:t>
            </w:r>
            <w:r w:rsidRPr="00BF7A66">
              <w:rPr>
                <w:sz w:val="20"/>
                <w:lang w:eastAsia="pt-BR"/>
              </w:rPr>
              <w:t xml:space="preserve"> gotas de plástico descartável – com respiro.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A029BD" w:rsidP="0098421D">
            <w:pPr>
              <w:snapToGrid w:val="0"/>
              <w:rPr>
                <w:sz w:val="20"/>
                <w:lang w:val="pt-PT"/>
              </w:rPr>
            </w:pPr>
            <w:r>
              <w:rPr>
                <w:sz w:val="20"/>
                <w:lang w:val="pt-PT"/>
              </w:rPr>
              <w:t>LABOR IMPOR</w:t>
            </w:r>
          </w:p>
        </w:tc>
        <w:tc>
          <w:tcPr>
            <w:tcW w:w="1134" w:type="dxa"/>
            <w:vAlign w:val="center"/>
          </w:tcPr>
          <w:p w:rsidR="00595EDB" w:rsidRPr="00BF7A66" w:rsidRDefault="00A029BD" w:rsidP="0098421D">
            <w:pPr>
              <w:snapToGrid w:val="0"/>
              <w:jc w:val="right"/>
              <w:rPr>
                <w:sz w:val="20"/>
                <w:lang w:val="pt-PT"/>
              </w:rPr>
            </w:pPr>
            <w:r>
              <w:rPr>
                <w:sz w:val="20"/>
                <w:lang w:val="pt-PT"/>
              </w:rPr>
              <w:t>1,25</w:t>
            </w:r>
          </w:p>
        </w:tc>
        <w:tc>
          <w:tcPr>
            <w:tcW w:w="1275" w:type="dxa"/>
            <w:vAlign w:val="center"/>
          </w:tcPr>
          <w:p w:rsidR="00595EDB" w:rsidRPr="00BF7A66" w:rsidRDefault="00A029BD" w:rsidP="0098421D">
            <w:pPr>
              <w:snapToGrid w:val="0"/>
              <w:jc w:val="right"/>
              <w:rPr>
                <w:sz w:val="20"/>
                <w:lang w:val="pt-PT"/>
              </w:rPr>
            </w:pPr>
            <w:r>
              <w:rPr>
                <w:sz w:val="20"/>
                <w:lang w:val="pt-PT"/>
              </w:rPr>
              <w:t>2.500,00</w:t>
            </w:r>
          </w:p>
        </w:tc>
      </w:tr>
      <w:tr w:rsidR="00595EDB" w:rsidRPr="00BF7A66" w:rsidTr="00F27BE4">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116</w:t>
            </w:r>
          </w:p>
        </w:tc>
        <w:tc>
          <w:tcPr>
            <w:tcW w:w="4395" w:type="dxa"/>
            <w:vAlign w:val="center"/>
          </w:tcPr>
          <w:p w:rsidR="00595EDB" w:rsidRPr="00BF7A66" w:rsidRDefault="00595EDB" w:rsidP="0098421D">
            <w:pPr>
              <w:rPr>
                <w:sz w:val="20"/>
                <w:lang w:eastAsia="pt-BR"/>
              </w:rPr>
            </w:pPr>
            <w:r w:rsidRPr="00BF7A66">
              <w:rPr>
                <w:sz w:val="20"/>
                <w:lang w:eastAsia="pt-BR"/>
              </w:rPr>
              <w:t xml:space="preserve">Esfigmomanômetro </w:t>
            </w:r>
            <w:r w:rsidRPr="00BF7A66">
              <w:rPr>
                <w:b/>
                <w:sz w:val="20"/>
                <w:lang w:eastAsia="pt-BR"/>
              </w:rPr>
              <w:t>obeso</w:t>
            </w:r>
            <w:r w:rsidRPr="00BF7A66">
              <w:rPr>
                <w:sz w:val="20"/>
                <w:lang w:eastAsia="pt-BR"/>
              </w:rPr>
              <w:t>, resistente às quedas e livre de látex. Visor com uma leitura fácil e precisa. Pera e manguito isentos de látex. Braçadeira com fechamento em metal resistente e lavável. Manômetro em liga termoplástica proporcionando durabilidade e absorção a impactos com grande absorção de choques. Laudo técnico do IPEM (INMETRO) com certificação de aferição individual. Garantia contra defeitos de fabricação e calibração e materiais por período de, mo mínimo, 01 ano após a data de compra, conforme Manual registrado na ANVISA. As informações também devem ser comprovadas através do catálogo original do produto. Deverá acompanhar os seguintes acessórios: 01 braçadeira com manguito adulto, 01 bolsa com zíper para acondicionamento e manual de instruções em português. Não será aceito aparelho com manômetro acoplado à pêra infladora.</w:t>
            </w:r>
          </w:p>
          <w:p w:rsidR="00595EDB" w:rsidRPr="00BF7A66" w:rsidRDefault="00595EDB" w:rsidP="0098421D">
            <w:pPr>
              <w:rPr>
                <w:sz w:val="20"/>
                <w:lang w:eastAsia="pt-BR"/>
              </w:rPr>
            </w:pPr>
            <w:r w:rsidRPr="00BF7A66">
              <w:rPr>
                <w:sz w:val="20"/>
              </w:rPr>
              <w:t>Registro junto à ANVISA. Selo do INMETRO.</w:t>
            </w:r>
          </w:p>
        </w:tc>
        <w:tc>
          <w:tcPr>
            <w:tcW w:w="850" w:type="dxa"/>
            <w:vAlign w:val="center"/>
          </w:tcPr>
          <w:p w:rsidR="00595EDB" w:rsidRPr="00BF7A66" w:rsidRDefault="00595EDB" w:rsidP="0098421D">
            <w:pPr>
              <w:jc w:val="right"/>
              <w:rPr>
                <w:sz w:val="20"/>
              </w:rPr>
            </w:pPr>
            <w:r w:rsidRPr="00BF7A66">
              <w:rPr>
                <w:sz w:val="20"/>
              </w:rPr>
              <w:t>40</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A37724" w:rsidP="0098421D">
            <w:pPr>
              <w:snapToGrid w:val="0"/>
              <w:rPr>
                <w:sz w:val="20"/>
                <w:lang w:val="es-ES_tradnl"/>
              </w:rPr>
            </w:pPr>
            <w:r>
              <w:rPr>
                <w:sz w:val="20"/>
                <w:lang w:val="es-ES_tradnl"/>
              </w:rPr>
              <w:t>BIC</w:t>
            </w:r>
          </w:p>
        </w:tc>
        <w:tc>
          <w:tcPr>
            <w:tcW w:w="1134" w:type="dxa"/>
            <w:vAlign w:val="center"/>
          </w:tcPr>
          <w:p w:rsidR="00595EDB" w:rsidRPr="00BF7A66" w:rsidRDefault="00A37724" w:rsidP="0098421D">
            <w:pPr>
              <w:snapToGrid w:val="0"/>
              <w:jc w:val="right"/>
              <w:rPr>
                <w:sz w:val="20"/>
                <w:lang w:val="es-ES_tradnl"/>
              </w:rPr>
            </w:pPr>
            <w:r>
              <w:rPr>
                <w:sz w:val="20"/>
                <w:lang w:val="es-ES_tradnl"/>
              </w:rPr>
              <w:t>165,10</w:t>
            </w:r>
          </w:p>
        </w:tc>
        <w:tc>
          <w:tcPr>
            <w:tcW w:w="1275" w:type="dxa"/>
            <w:vAlign w:val="center"/>
          </w:tcPr>
          <w:p w:rsidR="00595EDB" w:rsidRPr="00BF7A66" w:rsidRDefault="00A37724" w:rsidP="0098421D">
            <w:pPr>
              <w:snapToGrid w:val="0"/>
              <w:jc w:val="right"/>
              <w:rPr>
                <w:sz w:val="20"/>
                <w:lang w:val="es-ES_tradnl"/>
              </w:rPr>
            </w:pPr>
            <w:r>
              <w:rPr>
                <w:sz w:val="20"/>
                <w:lang w:val="es-ES_tradnl"/>
              </w:rPr>
              <w:t>6.604,00</w:t>
            </w:r>
          </w:p>
        </w:tc>
      </w:tr>
      <w:tr w:rsidR="00595EDB" w:rsidRPr="00BF7A66" w:rsidTr="00F27BE4">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279</w:t>
            </w:r>
          </w:p>
        </w:tc>
        <w:tc>
          <w:tcPr>
            <w:tcW w:w="4395" w:type="dxa"/>
            <w:vAlign w:val="center"/>
          </w:tcPr>
          <w:p w:rsidR="00595EDB" w:rsidRPr="00BF7A66" w:rsidRDefault="00595EDB" w:rsidP="0098421D">
            <w:pPr>
              <w:rPr>
                <w:sz w:val="20"/>
              </w:rPr>
            </w:pPr>
            <w:r w:rsidRPr="00BF7A66">
              <w:rPr>
                <w:sz w:val="20"/>
              </w:rPr>
              <w:t>Tesoura modelo Spencer reta, para retirada de pontos - tamanho 09 cm.</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30</w:t>
            </w:r>
          </w:p>
        </w:tc>
        <w:tc>
          <w:tcPr>
            <w:tcW w:w="709" w:type="dxa"/>
            <w:vAlign w:val="center"/>
          </w:tcPr>
          <w:p w:rsidR="00595EDB" w:rsidRPr="00BF7A66" w:rsidRDefault="00595EDB" w:rsidP="0098421D">
            <w:pPr>
              <w:jc w:val="center"/>
            </w:pPr>
            <w:r w:rsidRPr="00BF7A66">
              <w:rPr>
                <w:sz w:val="20"/>
              </w:rPr>
              <w:t>un</w:t>
            </w:r>
          </w:p>
        </w:tc>
        <w:tc>
          <w:tcPr>
            <w:tcW w:w="1276" w:type="dxa"/>
            <w:vAlign w:val="center"/>
          </w:tcPr>
          <w:p w:rsidR="00595EDB" w:rsidRPr="00BF7A66" w:rsidRDefault="00F27BE4" w:rsidP="0098421D">
            <w:pPr>
              <w:snapToGrid w:val="0"/>
              <w:rPr>
                <w:sz w:val="20"/>
                <w:lang w:val="pt-PT"/>
              </w:rPr>
            </w:pPr>
            <w:r>
              <w:rPr>
                <w:sz w:val="20"/>
                <w:lang w:val="pt-PT"/>
              </w:rPr>
              <w:t>GOLGRAN</w:t>
            </w:r>
          </w:p>
        </w:tc>
        <w:tc>
          <w:tcPr>
            <w:tcW w:w="1134" w:type="dxa"/>
            <w:vAlign w:val="center"/>
          </w:tcPr>
          <w:p w:rsidR="00595EDB" w:rsidRPr="00BF7A66" w:rsidRDefault="00F27BE4" w:rsidP="0098421D">
            <w:pPr>
              <w:snapToGrid w:val="0"/>
              <w:jc w:val="right"/>
              <w:rPr>
                <w:sz w:val="20"/>
                <w:lang w:val="pt-PT"/>
              </w:rPr>
            </w:pPr>
            <w:r>
              <w:rPr>
                <w:sz w:val="20"/>
                <w:lang w:val="pt-PT"/>
              </w:rPr>
              <w:t>22,73</w:t>
            </w:r>
          </w:p>
        </w:tc>
        <w:tc>
          <w:tcPr>
            <w:tcW w:w="1275" w:type="dxa"/>
            <w:vAlign w:val="center"/>
          </w:tcPr>
          <w:p w:rsidR="00595EDB" w:rsidRPr="00BF7A66" w:rsidRDefault="00F27BE4" w:rsidP="0098421D">
            <w:pPr>
              <w:snapToGrid w:val="0"/>
              <w:jc w:val="right"/>
              <w:rPr>
                <w:sz w:val="20"/>
                <w:lang w:val="pt-PT"/>
              </w:rPr>
            </w:pPr>
            <w:r>
              <w:rPr>
                <w:sz w:val="20"/>
                <w:lang w:val="pt-PT"/>
              </w:rPr>
              <w:t>681,90</w:t>
            </w:r>
          </w:p>
        </w:tc>
      </w:tr>
      <w:tr w:rsidR="00595EDB" w:rsidRPr="00BF7A66" w:rsidTr="00F27BE4">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280</w:t>
            </w:r>
          </w:p>
        </w:tc>
        <w:tc>
          <w:tcPr>
            <w:tcW w:w="4395" w:type="dxa"/>
            <w:vAlign w:val="center"/>
          </w:tcPr>
          <w:p w:rsidR="00595EDB" w:rsidRPr="00BF7A66" w:rsidRDefault="00595EDB" w:rsidP="0098421D">
            <w:pPr>
              <w:rPr>
                <w:sz w:val="20"/>
              </w:rPr>
            </w:pPr>
            <w:r w:rsidRPr="00BF7A66">
              <w:rPr>
                <w:sz w:val="20"/>
              </w:rPr>
              <w:t>Tesoura modelo Spencer reta, para retirada de pontos - tamanho 12 cm.</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30</w:t>
            </w:r>
          </w:p>
        </w:tc>
        <w:tc>
          <w:tcPr>
            <w:tcW w:w="709" w:type="dxa"/>
            <w:vAlign w:val="center"/>
          </w:tcPr>
          <w:p w:rsidR="00595EDB" w:rsidRPr="00BF7A66" w:rsidRDefault="00595EDB" w:rsidP="0098421D">
            <w:pPr>
              <w:jc w:val="center"/>
            </w:pPr>
            <w:r w:rsidRPr="00BF7A66">
              <w:rPr>
                <w:sz w:val="20"/>
              </w:rPr>
              <w:t>un</w:t>
            </w:r>
          </w:p>
        </w:tc>
        <w:tc>
          <w:tcPr>
            <w:tcW w:w="1276" w:type="dxa"/>
            <w:vAlign w:val="center"/>
          </w:tcPr>
          <w:p w:rsidR="00595EDB" w:rsidRPr="00BF7A66" w:rsidRDefault="00F27BE4" w:rsidP="0098421D">
            <w:pPr>
              <w:snapToGrid w:val="0"/>
              <w:rPr>
                <w:sz w:val="20"/>
                <w:lang w:val="pt-PT"/>
              </w:rPr>
            </w:pPr>
            <w:r>
              <w:rPr>
                <w:sz w:val="20"/>
                <w:lang w:val="pt-PT"/>
              </w:rPr>
              <w:t>GOLGRAN</w:t>
            </w:r>
          </w:p>
        </w:tc>
        <w:tc>
          <w:tcPr>
            <w:tcW w:w="1134" w:type="dxa"/>
            <w:vAlign w:val="center"/>
          </w:tcPr>
          <w:p w:rsidR="00595EDB" w:rsidRPr="00BF7A66" w:rsidRDefault="00F27BE4" w:rsidP="0098421D">
            <w:pPr>
              <w:snapToGrid w:val="0"/>
              <w:jc w:val="right"/>
              <w:rPr>
                <w:sz w:val="20"/>
                <w:lang w:val="pt-PT"/>
              </w:rPr>
            </w:pPr>
            <w:r>
              <w:rPr>
                <w:sz w:val="20"/>
                <w:lang w:val="pt-PT"/>
              </w:rPr>
              <w:t>24,89</w:t>
            </w:r>
          </w:p>
        </w:tc>
        <w:tc>
          <w:tcPr>
            <w:tcW w:w="1275" w:type="dxa"/>
            <w:vAlign w:val="center"/>
          </w:tcPr>
          <w:p w:rsidR="00595EDB" w:rsidRPr="00BF7A66" w:rsidRDefault="00F27BE4" w:rsidP="0098421D">
            <w:pPr>
              <w:snapToGrid w:val="0"/>
              <w:jc w:val="right"/>
              <w:rPr>
                <w:sz w:val="20"/>
                <w:lang w:val="pt-PT"/>
              </w:rPr>
            </w:pPr>
            <w:r>
              <w:rPr>
                <w:sz w:val="20"/>
                <w:lang w:val="pt-PT"/>
              </w:rPr>
              <w:t>746,70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262B0E" w:rsidP="0098421D">
            <w:pPr>
              <w:rPr>
                <w:sz w:val="20"/>
                <w:lang w:eastAsia="pt-BR"/>
              </w:rPr>
            </w:pPr>
            <w:r>
              <w:rPr>
                <w:sz w:val="20"/>
                <w:lang w:eastAsia="pt-BR"/>
              </w:rPr>
              <w:t>49.759,10</w:t>
            </w:r>
          </w:p>
        </w:tc>
      </w:tr>
    </w:tbl>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 xml:space="preserve">A execução do objeto deverá ser acompanhada e fiscalizada pelos servidores MARCOS ANTONIO MARTINAZZO e ANGELA SIGNORI (Órgão Gerenciador), que anotarão em registro próprio todas as </w:t>
      </w:r>
      <w:r w:rsidRPr="00BF7A66">
        <w:rPr>
          <w:sz w:val="20"/>
        </w:rPr>
        <w:lastRenderedPageBreak/>
        <w:t>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CLÁUSULA QUARTA – DA FORMA DE PAGAMENTO, DO REAJUSTE E DA REVISÃO</w:t>
      </w:r>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 xml:space="preserve">Mesmo comprovada a ocorrência prevista na alínea “d”, inciso II, do art. 65 da Lei nº 8.666/93, a </w:t>
      </w:r>
      <w:r w:rsidRPr="00BF7A66">
        <w:rPr>
          <w:rFonts w:cs="Arial"/>
        </w:rPr>
        <w:lastRenderedPageBreak/>
        <w:t>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BF7A66"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BF7A66" w:rsidRDefault="00595EDB" w:rsidP="00595EDB">
      <w:pPr>
        <w:widowControl w:val="0"/>
        <w:ind w:left="426"/>
        <w:jc w:val="both"/>
        <w:rPr>
          <w:sz w:val="20"/>
        </w:rPr>
      </w:pPr>
    </w:p>
    <w:p w:rsidR="00595EDB" w:rsidRPr="00BF7A66"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BF7A66" w:rsidRDefault="00595EDB" w:rsidP="00595EDB">
      <w:pPr>
        <w:widowControl w:val="0"/>
        <w:ind w:left="426" w:hanging="426"/>
        <w:jc w:val="both"/>
        <w:rPr>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lastRenderedPageBreak/>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pStyle w:val="Corpodetexto21"/>
        <w:tabs>
          <w:tab w:val="left" w:pos="0"/>
        </w:tabs>
        <w:rPr>
          <w:sz w:val="20"/>
          <w:szCs w:val="20"/>
        </w:rPr>
      </w:pP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1646BB" w:rsidP="00595EDB">
      <w:pPr>
        <w:tabs>
          <w:tab w:val="left" w:pos="1134"/>
        </w:tabs>
        <w:jc w:val="center"/>
        <w:rPr>
          <w:sz w:val="20"/>
        </w:rPr>
      </w:pPr>
      <w:r>
        <w:rPr>
          <w:sz w:val="20"/>
        </w:rPr>
        <w:t>ODONTOMEDI PRODUTOS ODONT. E HOSPITALARES LTDA</w:t>
      </w:r>
    </w:p>
    <w:p w:rsidR="001646BB" w:rsidRDefault="001646BB" w:rsidP="00595EDB">
      <w:pPr>
        <w:tabs>
          <w:tab w:val="left" w:pos="1134"/>
        </w:tabs>
        <w:jc w:val="center"/>
        <w:rPr>
          <w:sz w:val="20"/>
        </w:rPr>
      </w:pPr>
      <w:r>
        <w:rPr>
          <w:sz w:val="20"/>
        </w:rPr>
        <w:t>ROMANO ANTONIO POSSATTO</w:t>
      </w:r>
    </w:p>
    <w:p w:rsidR="001646BB" w:rsidRPr="00BF7A66" w:rsidRDefault="001646BB"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8FA" w:rsidRDefault="00DF08FA" w:rsidP="00DF08FA">
      <w:r>
        <w:separator/>
      </w:r>
    </w:p>
  </w:endnote>
  <w:endnote w:type="continuationSeparator" w:id="0">
    <w:p w:rsidR="00DF08FA" w:rsidRDefault="00DF08FA" w:rsidP="00DF08F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DF08FA">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DF08FA">
                <w:pPr>
                  <w:pStyle w:val="Rodap"/>
                </w:pPr>
                <w:r>
                  <w:rPr>
                    <w:rStyle w:val="Nmerodepgina"/>
                  </w:rPr>
                  <w:fldChar w:fldCharType="begin"/>
                </w:r>
                <w:r w:rsidR="0098421D">
                  <w:rPr>
                    <w:rStyle w:val="Nmerodepgina"/>
                  </w:rPr>
                  <w:instrText xml:space="preserve"> PAGE </w:instrText>
                </w:r>
                <w:r>
                  <w:rPr>
                    <w:rStyle w:val="Nmerodepgina"/>
                  </w:rPr>
                  <w:fldChar w:fldCharType="separate"/>
                </w:r>
                <w:r w:rsidR="001646BB">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8FA" w:rsidRDefault="00DF08FA" w:rsidP="00DF08FA">
      <w:r>
        <w:separator/>
      </w:r>
    </w:p>
  </w:footnote>
  <w:footnote w:type="continuationSeparator" w:id="0">
    <w:p w:rsidR="00DF08FA" w:rsidRDefault="00DF08FA" w:rsidP="00DF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DF08FA" w:rsidP="0098421D">
    <w:pPr>
      <w:ind w:left="1134"/>
      <w:rPr>
        <w:sz w:val="20"/>
      </w:rPr>
    </w:pPr>
    <w:r w:rsidRPr="00DF08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C09B6"/>
    <w:rsid w:val="000C4055"/>
    <w:rsid w:val="000C415F"/>
    <w:rsid w:val="000D73B2"/>
    <w:rsid w:val="00100F57"/>
    <w:rsid w:val="001173EE"/>
    <w:rsid w:val="00135678"/>
    <w:rsid w:val="001646BB"/>
    <w:rsid w:val="001D1757"/>
    <w:rsid w:val="00215F35"/>
    <w:rsid w:val="00224EA4"/>
    <w:rsid w:val="00246311"/>
    <w:rsid w:val="00262B0E"/>
    <w:rsid w:val="002C34BB"/>
    <w:rsid w:val="0031085E"/>
    <w:rsid w:val="003451DF"/>
    <w:rsid w:val="00361AF6"/>
    <w:rsid w:val="00375552"/>
    <w:rsid w:val="003A58AC"/>
    <w:rsid w:val="003C2BB6"/>
    <w:rsid w:val="003D6D59"/>
    <w:rsid w:val="00451822"/>
    <w:rsid w:val="00481181"/>
    <w:rsid w:val="004A7B01"/>
    <w:rsid w:val="004C7FED"/>
    <w:rsid w:val="00595EDB"/>
    <w:rsid w:val="00643006"/>
    <w:rsid w:val="00660F6C"/>
    <w:rsid w:val="006F3A2E"/>
    <w:rsid w:val="0071278B"/>
    <w:rsid w:val="00715B85"/>
    <w:rsid w:val="00754845"/>
    <w:rsid w:val="007713A1"/>
    <w:rsid w:val="0079340E"/>
    <w:rsid w:val="0079641C"/>
    <w:rsid w:val="00810FBE"/>
    <w:rsid w:val="0081133F"/>
    <w:rsid w:val="00873645"/>
    <w:rsid w:val="008A1EE8"/>
    <w:rsid w:val="008A47FE"/>
    <w:rsid w:val="008E5053"/>
    <w:rsid w:val="0092043A"/>
    <w:rsid w:val="009623C6"/>
    <w:rsid w:val="00963FF5"/>
    <w:rsid w:val="00964D06"/>
    <w:rsid w:val="0098421D"/>
    <w:rsid w:val="009A18EF"/>
    <w:rsid w:val="009B5729"/>
    <w:rsid w:val="009C64CF"/>
    <w:rsid w:val="009D7FC8"/>
    <w:rsid w:val="009F2051"/>
    <w:rsid w:val="00A029BD"/>
    <w:rsid w:val="00A37263"/>
    <w:rsid w:val="00A37724"/>
    <w:rsid w:val="00A73FF0"/>
    <w:rsid w:val="00A81EA5"/>
    <w:rsid w:val="00AA7253"/>
    <w:rsid w:val="00AB61EE"/>
    <w:rsid w:val="00B357EE"/>
    <w:rsid w:val="00B426F0"/>
    <w:rsid w:val="00B61320"/>
    <w:rsid w:val="00BE7F53"/>
    <w:rsid w:val="00C44A15"/>
    <w:rsid w:val="00C77F3C"/>
    <w:rsid w:val="00D1425D"/>
    <w:rsid w:val="00D22D3E"/>
    <w:rsid w:val="00D73BC3"/>
    <w:rsid w:val="00DF08FA"/>
    <w:rsid w:val="00DF27B5"/>
    <w:rsid w:val="00DF3894"/>
    <w:rsid w:val="00E65F18"/>
    <w:rsid w:val="00EA6CEB"/>
    <w:rsid w:val="00F11DFB"/>
    <w:rsid w:val="00F27BE4"/>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2570</Words>
  <Characters>13879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2016-09-19T17:58:00Z</dcterms:created>
  <dcterms:modified xsi:type="dcterms:W3CDTF">2016-09-19T18:13:00Z</dcterms:modified>
</cp:coreProperties>
</file>