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142AA5">
        <w:rPr>
          <w:b/>
          <w:sz w:val="20"/>
          <w:lang w:eastAsia="pt-BR"/>
        </w:rPr>
        <w:t>/2016/FMS/11</w:t>
      </w: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142AA5" w:rsidP="0098421D">
            <w:pPr>
              <w:suppressAutoHyphens w:val="0"/>
              <w:autoSpaceDE w:val="0"/>
              <w:autoSpaceDN w:val="0"/>
              <w:adjustRightInd w:val="0"/>
              <w:rPr>
                <w:b/>
                <w:sz w:val="20"/>
                <w:lang w:eastAsia="pt-BR"/>
              </w:rPr>
            </w:pPr>
            <w:r>
              <w:rPr>
                <w:b/>
                <w:sz w:val="20"/>
                <w:lang w:eastAsia="pt-BR"/>
              </w:rPr>
              <w:t>PLASMEDIC COM DE MAT. PARA USO MEDICO E LAB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142AA5" w:rsidP="0098421D">
            <w:pPr>
              <w:suppressAutoHyphens w:val="0"/>
              <w:autoSpaceDE w:val="0"/>
              <w:autoSpaceDN w:val="0"/>
              <w:adjustRightInd w:val="0"/>
              <w:rPr>
                <w:b/>
                <w:sz w:val="20"/>
                <w:lang w:eastAsia="pt-BR"/>
              </w:rPr>
            </w:pPr>
            <w:r>
              <w:rPr>
                <w:b/>
                <w:sz w:val="20"/>
                <w:lang w:eastAsia="pt-BR"/>
              </w:rPr>
              <w:t>AV. MAURICIO CARDOSO, 706 -   54-3321-3939</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142AA5" w:rsidP="0098421D">
            <w:pPr>
              <w:suppressAutoHyphens w:val="0"/>
              <w:autoSpaceDE w:val="0"/>
              <w:autoSpaceDN w:val="0"/>
              <w:adjustRightInd w:val="0"/>
              <w:rPr>
                <w:b/>
                <w:sz w:val="20"/>
                <w:lang w:eastAsia="pt-BR"/>
              </w:rPr>
            </w:pPr>
            <w:r>
              <w:rPr>
                <w:b/>
                <w:sz w:val="20"/>
                <w:lang w:eastAsia="pt-BR"/>
              </w:rPr>
              <w:t>09.200.303/0001-22</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142AA5" w:rsidP="0098421D">
            <w:pPr>
              <w:suppressAutoHyphens w:val="0"/>
              <w:autoSpaceDE w:val="0"/>
              <w:autoSpaceDN w:val="0"/>
              <w:adjustRightInd w:val="0"/>
              <w:rPr>
                <w:b/>
                <w:sz w:val="20"/>
                <w:lang w:eastAsia="pt-BR"/>
              </w:rPr>
            </w:pPr>
            <w:r>
              <w:rPr>
                <w:b/>
                <w:sz w:val="20"/>
                <w:lang w:eastAsia="pt-BR"/>
              </w:rPr>
              <w:t>NEDIO JUSTINO MASSOCHIN JUNIOR</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142AA5" w:rsidP="0098421D">
            <w:pPr>
              <w:suppressAutoHyphens w:val="0"/>
              <w:autoSpaceDE w:val="0"/>
              <w:autoSpaceDN w:val="0"/>
              <w:adjustRightInd w:val="0"/>
              <w:rPr>
                <w:b/>
                <w:sz w:val="20"/>
                <w:lang w:eastAsia="pt-BR"/>
              </w:rPr>
            </w:pPr>
            <w:r>
              <w:rPr>
                <w:b/>
                <w:sz w:val="20"/>
                <w:lang w:eastAsia="pt-BR"/>
              </w:rPr>
              <w:t>RUA ANCHIETA, 204 – ERECHIM/RS</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142AA5" w:rsidP="0098421D">
            <w:pPr>
              <w:suppressAutoHyphens w:val="0"/>
              <w:autoSpaceDE w:val="0"/>
              <w:autoSpaceDN w:val="0"/>
              <w:adjustRightInd w:val="0"/>
              <w:rPr>
                <w:b/>
                <w:sz w:val="20"/>
                <w:lang w:eastAsia="pt-BR"/>
              </w:rPr>
            </w:pPr>
            <w:r>
              <w:rPr>
                <w:b/>
                <w:sz w:val="20"/>
                <w:lang w:eastAsia="pt-BR"/>
              </w:rPr>
              <w:t>010.448.960-00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142AA5" w:rsidP="0098421D">
            <w:pPr>
              <w:suppressAutoHyphens w:val="0"/>
              <w:autoSpaceDE w:val="0"/>
              <w:autoSpaceDN w:val="0"/>
              <w:adjustRightInd w:val="0"/>
              <w:rPr>
                <w:b/>
                <w:sz w:val="20"/>
                <w:lang w:eastAsia="pt-BR"/>
              </w:rPr>
            </w:pPr>
            <w:r>
              <w:rPr>
                <w:b/>
                <w:sz w:val="20"/>
                <w:lang w:eastAsia="pt-BR"/>
              </w:rPr>
              <w:t>4092420878</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276"/>
        <w:gridCol w:w="1134"/>
        <w:gridCol w:w="1275"/>
      </w:tblGrid>
      <w:tr w:rsidR="00595EDB" w:rsidRPr="00BF7A66" w:rsidTr="00A361DA">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276"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134"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w:t>
            </w:r>
          </w:p>
        </w:tc>
        <w:tc>
          <w:tcPr>
            <w:tcW w:w="4395" w:type="dxa"/>
            <w:vAlign w:val="center"/>
          </w:tcPr>
          <w:p w:rsidR="00595EDB" w:rsidRPr="00BF7A66" w:rsidRDefault="00595EDB" w:rsidP="0098421D">
            <w:pPr>
              <w:rPr>
                <w:sz w:val="20"/>
                <w:lang w:eastAsia="pt-BR"/>
              </w:rPr>
            </w:pPr>
            <w:r w:rsidRPr="00BF7A66">
              <w:rPr>
                <w:sz w:val="20"/>
                <w:lang w:eastAsia="pt-BR"/>
              </w:rPr>
              <w:t>Agulha descartável hipodérmica, calibre 40 x 12,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cx</w:t>
            </w:r>
          </w:p>
        </w:tc>
        <w:tc>
          <w:tcPr>
            <w:tcW w:w="1276" w:type="dxa"/>
            <w:vAlign w:val="center"/>
          </w:tcPr>
          <w:p w:rsidR="00595EDB" w:rsidRPr="00BF7A66" w:rsidRDefault="00BE333C" w:rsidP="0098421D">
            <w:pPr>
              <w:snapToGrid w:val="0"/>
              <w:rPr>
                <w:sz w:val="20"/>
                <w:lang w:val="pt-PT"/>
              </w:rPr>
            </w:pPr>
            <w:r>
              <w:rPr>
                <w:sz w:val="20"/>
                <w:lang w:val="pt-PT"/>
              </w:rPr>
              <w:t>DESCARPACK</w:t>
            </w:r>
          </w:p>
        </w:tc>
        <w:tc>
          <w:tcPr>
            <w:tcW w:w="1134" w:type="dxa"/>
            <w:vAlign w:val="center"/>
          </w:tcPr>
          <w:p w:rsidR="00595EDB" w:rsidRPr="00BF7A66" w:rsidRDefault="00BE333C" w:rsidP="0098421D">
            <w:pPr>
              <w:snapToGrid w:val="0"/>
              <w:jc w:val="right"/>
              <w:rPr>
                <w:sz w:val="20"/>
                <w:lang w:val="pt-PT"/>
              </w:rPr>
            </w:pPr>
            <w:r>
              <w:rPr>
                <w:sz w:val="20"/>
                <w:lang w:val="pt-PT"/>
              </w:rPr>
              <w:t>6,55</w:t>
            </w:r>
          </w:p>
        </w:tc>
        <w:tc>
          <w:tcPr>
            <w:tcW w:w="1275" w:type="dxa"/>
            <w:vAlign w:val="center"/>
          </w:tcPr>
          <w:p w:rsidR="00595EDB" w:rsidRPr="00BF7A66" w:rsidRDefault="00BE333C" w:rsidP="0098421D">
            <w:pPr>
              <w:snapToGrid w:val="0"/>
              <w:jc w:val="right"/>
              <w:rPr>
                <w:sz w:val="20"/>
                <w:lang w:val="pt-PT"/>
              </w:rPr>
            </w:pPr>
            <w:r>
              <w:rPr>
                <w:sz w:val="20"/>
                <w:lang w:val="pt-PT"/>
              </w:rPr>
              <w:t>1.310,00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40</w:t>
            </w:r>
          </w:p>
        </w:tc>
        <w:tc>
          <w:tcPr>
            <w:tcW w:w="4395" w:type="dxa"/>
            <w:vAlign w:val="center"/>
          </w:tcPr>
          <w:p w:rsidR="00595EDB" w:rsidRPr="00BF7A66" w:rsidRDefault="00595EDB" w:rsidP="0098421D">
            <w:pPr>
              <w:rPr>
                <w:sz w:val="20"/>
              </w:rPr>
            </w:pPr>
            <w:r w:rsidRPr="00BF7A66">
              <w:rPr>
                <w:sz w:val="20"/>
              </w:rPr>
              <w:t xml:space="preserve">Biombo Duplo para divisórias </w:t>
            </w:r>
          </w:p>
        </w:tc>
        <w:tc>
          <w:tcPr>
            <w:tcW w:w="850" w:type="dxa"/>
            <w:vAlign w:val="center"/>
          </w:tcPr>
          <w:p w:rsidR="00595EDB" w:rsidRPr="00BF7A66" w:rsidRDefault="00595EDB" w:rsidP="0098421D">
            <w:pPr>
              <w:jc w:val="right"/>
              <w:rPr>
                <w:sz w:val="20"/>
              </w:rPr>
            </w:pPr>
            <w:r w:rsidRPr="00BF7A66">
              <w:rPr>
                <w:sz w:val="20"/>
              </w:rPr>
              <w:t>08</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136CE1" w:rsidP="0098421D">
            <w:pPr>
              <w:snapToGrid w:val="0"/>
              <w:rPr>
                <w:sz w:val="20"/>
                <w:lang w:val="es-ES_tradnl"/>
              </w:rPr>
            </w:pPr>
            <w:r>
              <w:rPr>
                <w:sz w:val="20"/>
                <w:lang w:val="es-ES_tradnl"/>
              </w:rPr>
              <w:t>METALIC</w:t>
            </w:r>
          </w:p>
        </w:tc>
        <w:tc>
          <w:tcPr>
            <w:tcW w:w="1134" w:type="dxa"/>
            <w:vAlign w:val="center"/>
          </w:tcPr>
          <w:p w:rsidR="00595EDB" w:rsidRPr="00BF7A66" w:rsidRDefault="00136CE1" w:rsidP="0098421D">
            <w:pPr>
              <w:snapToGrid w:val="0"/>
              <w:jc w:val="right"/>
              <w:rPr>
                <w:sz w:val="20"/>
                <w:lang w:val="es-ES_tradnl"/>
              </w:rPr>
            </w:pPr>
            <w:r>
              <w:rPr>
                <w:sz w:val="20"/>
                <w:lang w:val="es-ES_tradnl"/>
              </w:rPr>
              <w:t>174,00</w:t>
            </w:r>
          </w:p>
        </w:tc>
        <w:tc>
          <w:tcPr>
            <w:tcW w:w="1275" w:type="dxa"/>
            <w:vAlign w:val="center"/>
          </w:tcPr>
          <w:p w:rsidR="00595EDB" w:rsidRPr="00BF7A66" w:rsidRDefault="00136CE1" w:rsidP="0098421D">
            <w:pPr>
              <w:snapToGrid w:val="0"/>
              <w:jc w:val="right"/>
              <w:rPr>
                <w:sz w:val="20"/>
                <w:lang w:val="es-ES_tradnl"/>
              </w:rPr>
            </w:pPr>
            <w:r>
              <w:rPr>
                <w:sz w:val="20"/>
                <w:lang w:val="es-ES_tradnl"/>
              </w:rPr>
              <w:t>1.392,00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41</w:t>
            </w:r>
          </w:p>
        </w:tc>
        <w:tc>
          <w:tcPr>
            <w:tcW w:w="4395" w:type="dxa"/>
            <w:vAlign w:val="center"/>
          </w:tcPr>
          <w:p w:rsidR="00595EDB" w:rsidRPr="00BF7A66" w:rsidRDefault="00595EDB" w:rsidP="0098421D">
            <w:pPr>
              <w:rPr>
                <w:sz w:val="20"/>
              </w:rPr>
            </w:pPr>
            <w:r w:rsidRPr="00BF7A66">
              <w:rPr>
                <w:sz w:val="20"/>
              </w:rPr>
              <w:t xml:space="preserve">Biombo Triplo para divisórias </w:t>
            </w:r>
          </w:p>
        </w:tc>
        <w:tc>
          <w:tcPr>
            <w:tcW w:w="850" w:type="dxa"/>
            <w:vAlign w:val="center"/>
          </w:tcPr>
          <w:p w:rsidR="00595EDB" w:rsidRPr="00BF7A66" w:rsidRDefault="00595EDB" w:rsidP="0098421D">
            <w:pPr>
              <w:jc w:val="right"/>
              <w:rPr>
                <w:sz w:val="20"/>
              </w:rPr>
            </w:pPr>
            <w:r w:rsidRPr="00BF7A66">
              <w:rPr>
                <w:sz w:val="20"/>
              </w:rPr>
              <w:t>08</w:t>
            </w:r>
          </w:p>
        </w:tc>
        <w:tc>
          <w:tcPr>
            <w:tcW w:w="709" w:type="dxa"/>
            <w:vAlign w:val="center"/>
          </w:tcPr>
          <w:p w:rsidR="00595EDB" w:rsidRPr="00BF7A66" w:rsidRDefault="00595EDB" w:rsidP="0098421D">
            <w:pPr>
              <w:jc w:val="center"/>
              <w:rPr>
                <w:sz w:val="20"/>
              </w:rPr>
            </w:pPr>
            <w:r w:rsidRPr="00BF7A66">
              <w:rPr>
                <w:sz w:val="20"/>
              </w:rPr>
              <w:t xml:space="preserve">un </w:t>
            </w:r>
          </w:p>
        </w:tc>
        <w:tc>
          <w:tcPr>
            <w:tcW w:w="1276" w:type="dxa"/>
            <w:vAlign w:val="center"/>
          </w:tcPr>
          <w:p w:rsidR="00595EDB" w:rsidRPr="00BF7A66" w:rsidRDefault="00136CE1" w:rsidP="0098421D">
            <w:pPr>
              <w:snapToGrid w:val="0"/>
              <w:rPr>
                <w:sz w:val="20"/>
                <w:lang w:val="es-ES_tradnl"/>
              </w:rPr>
            </w:pPr>
            <w:r>
              <w:rPr>
                <w:sz w:val="20"/>
                <w:lang w:val="es-ES_tradnl"/>
              </w:rPr>
              <w:t>METALIC</w:t>
            </w:r>
          </w:p>
        </w:tc>
        <w:tc>
          <w:tcPr>
            <w:tcW w:w="1134" w:type="dxa"/>
            <w:vAlign w:val="center"/>
          </w:tcPr>
          <w:p w:rsidR="00595EDB" w:rsidRPr="00BF7A66" w:rsidRDefault="00136CE1" w:rsidP="0098421D">
            <w:pPr>
              <w:snapToGrid w:val="0"/>
              <w:jc w:val="right"/>
              <w:rPr>
                <w:sz w:val="20"/>
                <w:lang w:val="es-ES_tradnl"/>
              </w:rPr>
            </w:pPr>
            <w:r>
              <w:rPr>
                <w:sz w:val="20"/>
                <w:lang w:val="es-ES_tradnl"/>
              </w:rPr>
              <w:t>235,50</w:t>
            </w:r>
          </w:p>
        </w:tc>
        <w:tc>
          <w:tcPr>
            <w:tcW w:w="1275" w:type="dxa"/>
            <w:vAlign w:val="center"/>
          </w:tcPr>
          <w:p w:rsidR="00595EDB" w:rsidRPr="00BF7A66" w:rsidRDefault="00136CE1" w:rsidP="0098421D">
            <w:pPr>
              <w:snapToGrid w:val="0"/>
              <w:jc w:val="right"/>
              <w:rPr>
                <w:sz w:val="20"/>
                <w:lang w:val="es-ES_tradnl"/>
              </w:rPr>
            </w:pPr>
            <w:r>
              <w:rPr>
                <w:sz w:val="20"/>
                <w:lang w:val="es-ES_tradnl"/>
              </w:rPr>
              <w:t>1.884,00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78</w:t>
            </w:r>
          </w:p>
        </w:tc>
        <w:tc>
          <w:tcPr>
            <w:tcW w:w="4395" w:type="dxa"/>
            <w:vAlign w:val="center"/>
          </w:tcPr>
          <w:p w:rsidR="00595EDB" w:rsidRPr="00BF7A66" w:rsidRDefault="00595EDB" w:rsidP="0098421D">
            <w:pPr>
              <w:rPr>
                <w:sz w:val="20"/>
                <w:lang w:eastAsia="pt-BR"/>
              </w:rPr>
            </w:pPr>
            <w:r w:rsidRPr="00BF7A66">
              <w:rPr>
                <w:sz w:val="20"/>
              </w:rPr>
              <w:t xml:space="preserve">Compressa cirúrgica de gaze hidrófila com 08 dobras, densidade de 13 fios por cm² com alto poder de absorção, 10 x 10 cm fechada e 20 x 40 cm quando aberta, confeccionadas em fios 100% algodão, em tecido tipo tela, com 08 camadas e 05 dobras, alvejadas, purificadas e isentas de impurezas, substâncias gordurosas, amido, corantes corretivos e alvejantes ópticos. Deverá possuir dobras uniformes e para dentro em toda a sua extensão para evitar o desfiamento.  Embalada em pacotes com 500 unidades com peso mínimo de 900 gramas por pacote, trazendo externamente os dados de identificação, procedência, número de lote, método, data de fabricação, prazo de validade e numero de registro no Ministério da Saúde. Apresentar na proposta: registro na ANVISA, AFE do fabricante. O produto deverá atender na íntegra as especificações da NBR 13.843. </w:t>
            </w:r>
          </w:p>
        </w:tc>
        <w:tc>
          <w:tcPr>
            <w:tcW w:w="850" w:type="dxa"/>
            <w:vAlign w:val="center"/>
          </w:tcPr>
          <w:p w:rsidR="00595EDB" w:rsidRPr="00BF7A66" w:rsidRDefault="00595EDB" w:rsidP="0098421D">
            <w:pPr>
              <w:jc w:val="right"/>
              <w:rPr>
                <w:sz w:val="20"/>
              </w:rPr>
            </w:pPr>
            <w:r w:rsidRPr="00BF7A66">
              <w:rPr>
                <w:sz w:val="20"/>
              </w:rPr>
              <w:t>4.000</w:t>
            </w:r>
          </w:p>
        </w:tc>
        <w:tc>
          <w:tcPr>
            <w:tcW w:w="709" w:type="dxa"/>
            <w:vAlign w:val="center"/>
          </w:tcPr>
          <w:p w:rsidR="00595EDB" w:rsidRPr="00BF7A66" w:rsidRDefault="00595EDB" w:rsidP="0098421D">
            <w:pPr>
              <w:jc w:val="center"/>
              <w:rPr>
                <w:sz w:val="20"/>
              </w:rPr>
            </w:pPr>
            <w:r w:rsidRPr="00BF7A66">
              <w:rPr>
                <w:sz w:val="20"/>
              </w:rPr>
              <w:t>pct</w:t>
            </w:r>
          </w:p>
        </w:tc>
        <w:tc>
          <w:tcPr>
            <w:tcW w:w="1276" w:type="dxa"/>
            <w:vAlign w:val="center"/>
          </w:tcPr>
          <w:p w:rsidR="00595EDB" w:rsidRPr="00BF7A66" w:rsidRDefault="00AE7436" w:rsidP="0098421D">
            <w:pPr>
              <w:snapToGrid w:val="0"/>
              <w:rPr>
                <w:sz w:val="20"/>
                <w:lang w:val="pt-PT"/>
              </w:rPr>
            </w:pPr>
            <w:r>
              <w:rPr>
                <w:sz w:val="20"/>
                <w:lang w:val="pt-PT"/>
              </w:rPr>
              <w:t>MB TEXTIL</w:t>
            </w:r>
          </w:p>
        </w:tc>
        <w:tc>
          <w:tcPr>
            <w:tcW w:w="1134" w:type="dxa"/>
            <w:vAlign w:val="center"/>
          </w:tcPr>
          <w:p w:rsidR="00595EDB" w:rsidRPr="00BF7A66" w:rsidRDefault="00AE7436" w:rsidP="0098421D">
            <w:pPr>
              <w:snapToGrid w:val="0"/>
              <w:jc w:val="right"/>
              <w:rPr>
                <w:sz w:val="20"/>
                <w:lang w:val="pt-PT"/>
              </w:rPr>
            </w:pPr>
            <w:r>
              <w:rPr>
                <w:sz w:val="20"/>
                <w:lang w:val="pt-PT"/>
              </w:rPr>
              <w:t>33,80</w:t>
            </w:r>
          </w:p>
        </w:tc>
        <w:tc>
          <w:tcPr>
            <w:tcW w:w="1275" w:type="dxa"/>
            <w:vAlign w:val="center"/>
          </w:tcPr>
          <w:p w:rsidR="00595EDB" w:rsidRPr="00BF7A66" w:rsidRDefault="00AE7436" w:rsidP="0098421D">
            <w:pPr>
              <w:snapToGrid w:val="0"/>
              <w:jc w:val="right"/>
              <w:rPr>
                <w:sz w:val="20"/>
                <w:lang w:val="pt-PT"/>
              </w:rPr>
            </w:pPr>
            <w:r>
              <w:rPr>
                <w:sz w:val="20"/>
                <w:lang w:val="pt-PT"/>
              </w:rPr>
              <w:t>135.200,00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94</w:t>
            </w:r>
          </w:p>
        </w:tc>
        <w:tc>
          <w:tcPr>
            <w:tcW w:w="4395" w:type="dxa"/>
            <w:vAlign w:val="center"/>
          </w:tcPr>
          <w:p w:rsidR="00595EDB" w:rsidRPr="00BF7A66" w:rsidRDefault="00595EDB" w:rsidP="0098421D">
            <w:pPr>
              <w:rPr>
                <w:sz w:val="20"/>
              </w:rPr>
            </w:pPr>
            <w:r w:rsidRPr="00BF7A66">
              <w:rPr>
                <w:sz w:val="20"/>
              </w:rPr>
              <w:t xml:space="preserve">Detector fetal portátil com as seguintes características: alimentação por bateria recarregável, com carregador para bateria, tensão de alimentação 220 V, frequência do ultra som 2mhz, faixa de medida da frequência cardíaca - limite inferior: mínimo 50 bpm / limite superior: mínimo: 210 bpm, indicador de batimento cardíaco fetal e bateria fraca no display com contador numérico digital em display alfanumérico ou lcd, saída para fone de ouvido, intensidade do ultra som: &lt;10mW/cm2, resolução da frequência cardíaca de 1 bmp com precisão de ±1 bpm, auto-falante embutido no aparelho, e controle de volume e tonalidade. </w:t>
            </w:r>
          </w:p>
          <w:p w:rsidR="00595EDB" w:rsidRPr="00BF7A66" w:rsidRDefault="00595EDB" w:rsidP="0098421D">
            <w:pPr>
              <w:rPr>
                <w:sz w:val="20"/>
                <w:lang w:eastAsia="pt-BR"/>
              </w:rPr>
            </w:pPr>
            <w:r w:rsidRPr="00BF7A66">
              <w:rPr>
                <w:sz w:val="20"/>
              </w:rPr>
              <w:t>Registro na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E7436" w:rsidP="0098421D">
            <w:pPr>
              <w:snapToGrid w:val="0"/>
              <w:rPr>
                <w:sz w:val="20"/>
                <w:lang w:val="pt-PT"/>
              </w:rPr>
            </w:pPr>
            <w:r>
              <w:rPr>
                <w:sz w:val="20"/>
                <w:lang w:val="pt-PT"/>
              </w:rPr>
              <w:t>SIGMED</w:t>
            </w:r>
          </w:p>
        </w:tc>
        <w:tc>
          <w:tcPr>
            <w:tcW w:w="1134" w:type="dxa"/>
            <w:vAlign w:val="center"/>
          </w:tcPr>
          <w:p w:rsidR="00595EDB" w:rsidRPr="00BF7A66" w:rsidRDefault="00AE7436" w:rsidP="0098421D">
            <w:pPr>
              <w:snapToGrid w:val="0"/>
              <w:jc w:val="right"/>
              <w:rPr>
                <w:sz w:val="20"/>
                <w:lang w:val="pt-PT"/>
              </w:rPr>
            </w:pPr>
            <w:r>
              <w:rPr>
                <w:sz w:val="20"/>
                <w:lang w:val="pt-PT"/>
              </w:rPr>
              <w:t>345,00</w:t>
            </w:r>
          </w:p>
        </w:tc>
        <w:tc>
          <w:tcPr>
            <w:tcW w:w="1275" w:type="dxa"/>
            <w:vAlign w:val="center"/>
          </w:tcPr>
          <w:p w:rsidR="00595EDB" w:rsidRPr="00BF7A66" w:rsidRDefault="00AE7436" w:rsidP="0098421D">
            <w:pPr>
              <w:snapToGrid w:val="0"/>
              <w:jc w:val="right"/>
              <w:rPr>
                <w:sz w:val="20"/>
                <w:lang w:val="pt-PT"/>
              </w:rPr>
            </w:pPr>
            <w:r>
              <w:rPr>
                <w:sz w:val="20"/>
                <w:lang w:val="pt-PT"/>
              </w:rPr>
              <w:t>4.140,00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161</w:t>
            </w:r>
          </w:p>
        </w:tc>
        <w:tc>
          <w:tcPr>
            <w:tcW w:w="4395" w:type="dxa"/>
            <w:vAlign w:val="center"/>
          </w:tcPr>
          <w:p w:rsidR="00595EDB" w:rsidRPr="00BF7A66" w:rsidRDefault="00595EDB" w:rsidP="0098421D">
            <w:pPr>
              <w:rPr>
                <w:sz w:val="20"/>
                <w:lang w:eastAsia="pt-BR"/>
              </w:rPr>
            </w:pPr>
            <w:r w:rsidRPr="00BF7A66">
              <w:rPr>
                <w:sz w:val="20"/>
                <w:lang w:eastAsia="pt-BR"/>
              </w:rPr>
              <w:t>Lençol hospitalar de papel (100% fibras naturais) - rolo 50 m x 50 cm.</w:t>
            </w:r>
          </w:p>
        </w:tc>
        <w:tc>
          <w:tcPr>
            <w:tcW w:w="850" w:type="dxa"/>
            <w:vAlign w:val="center"/>
          </w:tcPr>
          <w:p w:rsidR="00595EDB" w:rsidRPr="00BF7A66" w:rsidRDefault="00595EDB" w:rsidP="0098421D">
            <w:pPr>
              <w:jc w:val="right"/>
              <w:rPr>
                <w:sz w:val="20"/>
              </w:rPr>
            </w:pPr>
            <w:r w:rsidRPr="00BF7A66">
              <w:rPr>
                <w:sz w:val="20"/>
              </w:rPr>
              <w:t>125</w:t>
            </w:r>
          </w:p>
        </w:tc>
        <w:tc>
          <w:tcPr>
            <w:tcW w:w="709" w:type="dxa"/>
            <w:vAlign w:val="center"/>
          </w:tcPr>
          <w:p w:rsidR="00595EDB" w:rsidRPr="00BF7A66" w:rsidRDefault="00595EDB" w:rsidP="0098421D">
            <w:pPr>
              <w:jc w:val="center"/>
              <w:rPr>
                <w:sz w:val="20"/>
              </w:rPr>
            </w:pPr>
            <w:r w:rsidRPr="00BF7A66">
              <w:rPr>
                <w:sz w:val="20"/>
              </w:rPr>
              <w:t>rlo</w:t>
            </w:r>
          </w:p>
        </w:tc>
        <w:tc>
          <w:tcPr>
            <w:tcW w:w="1276" w:type="dxa"/>
            <w:vAlign w:val="center"/>
          </w:tcPr>
          <w:p w:rsidR="00595EDB" w:rsidRPr="00BF7A66" w:rsidRDefault="00143E36" w:rsidP="0098421D">
            <w:pPr>
              <w:snapToGrid w:val="0"/>
              <w:rPr>
                <w:sz w:val="20"/>
                <w:lang w:val="pt-PT"/>
              </w:rPr>
            </w:pPr>
            <w:r>
              <w:rPr>
                <w:sz w:val="20"/>
                <w:lang w:val="pt-PT"/>
              </w:rPr>
              <w:t>CLEAN</w:t>
            </w:r>
          </w:p>
        </w:tc>
        <w:tc>
          <w:tcPr>
            <w:tcW w:w="1134" w:type="dxa"/>
            <w:vAlign w:val="center"/>
          </w:tcPr>
          <w:p w:rsidR="00595EDB" w:rsidRPr="00BF7A66" w:rsidRDefault="00143E36" w:rsidP="0098421D">
            <w:pPr>
              <w:snapToGrid w:val="0"/>
              <w:jc w:val="right"/>
              <w:rPr>
                <w:sz w:val="20"/>
                <w:lang w:val="pt-PT"/>
              </w:rPr>
            </w:pPr>
            <w:r>
              <w:rPr>
                <w:sz w:val="20"/>
                <w:lang w:val="pt-PT"/>
              </w:rPr>
              <w:t>4,95</w:t>
            </w:r>
          </w:p>
        </w:tc>
        <w:tc>
          <w:tcPr>
            <w:tcW w:w="1275" w:type="dxa"/>
            <w:vAlign w:val="center"/>
          </w:tcPr>
          <w:p w:rsidR="00595EDB" w:rsidRPr="00BF7A66" w:rsidRDefault="00143E36" w:rsidP="0098421D">
            <w:pPr>
              <w:snapToGrid w:val="0"/>
              <w:jc w:val="right"/>
              <w:rPr>
                <w:sz w:val="20"/>
                <w:lang w:val="pt-PT"/>
              </w:rPr>
            </w:pPr>
            <w:r>
              <w:rPr>
                <w:sz w:val="20"/>
                <w:lang w:val="pt-PT"/>
              </w:rPr>
              <w:t>618,75</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168</w:t>
            </w:r>
          </w:p>
        </w:tc>
        <w:tc>
          <w:tcPr>
            <w:tcW w:w="4395" w:type="dxa"/>
            <w:vAlign w:val="center"/>
          </w:tcPr>
          <w:p w:rsidR="00595EDB" w:rsidRPr="00BF7A66" w:rsidRDefault="00595EDB" w:rsidP="0098421D">
            <w:pPr>
              <w:rPr>
                <w:sz w:val="20"/>
              </w:rPr>
            </w:pPr>
            <w:r w:rsidRPr="00BF7A66">
              <w:rPr>
                <w:sz w:val="20"/>
              </w:rPr>
              <w:t xml:space="preserve">Luva de procedimento, em vinil sem pó, descartável, ambidestra, antialérgica, sem amido, transparente. Tamanho </w:t>
            </w:r>
            <w:r w:rsidRPr="00BF7A66">
              <w:rPr>
                <w:b/>
                <w:sz w:val="20"/>
              </w:rPr>
              <w:t>M</w:t>
            </w:r>
            <w:r w:rsidRPr="00BF7A66">
              <w:rPr>
                <w:sz w:val="20"/>
              </w:rPr>
              <w:t xml:space="preserve">. Validade: 02 anos. </w:t>
            </w:r>
          </w:p>
          <w:p w:rsidR="00595EDB" w:rsidRPr="00BF7A66" w:rsidRDefault="00595EDB" w:rsidP="0098421D">
            <w:pPr>
              <w:rPr>
                <w:sz w:val="20"/>
              </w:rPr>
            </w:pPr>
            <w:r w:rsidRPr="00BF7A66">
              <w:rPr>
                <w:sz w:val="20"/>
              </w:rPr>
              <w:t>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cx</w:t>
            </w:r>
          </w:p>
        </w:tc>
        <w:tc>
          <w:tcPr>
            <w:tcW w:w="1276" w:type="dxa"/>
            <w:vAlign w:val="center"/>
          </w:tcPr>
          <w:p w:rsidR="00595EDB" w:rsidRPr="00BF7A66" w:rsidRDefault="00143E36" w:rsidP="0098421D">
            <w:pPr>
              <w:snapToGrid w:val="0"/>
              <w:rPr>
                <w:sz w:val="20"/>
                <w:lang w:val="pt-PT"/>
              </w:rPr>
            </w:pPr>
            <w:r>
              <w:rPr>
                <w:sz w:val="20"/>
                <w:lang w:val="pt-PT"/>
              </w:rPr>
              <w:t>DESCARPACK</w:t>
            </w:r>
          </w:p>
        </w:tc>
        <w:tc>
          <w:tcPr>
            <w:tcW w:w="1134" w:type="dxa"/>
            <w:vAlign w:val="center"/>
          </w:tcPr>
          <w:p w:rsidR="00595EDB" w:rsidRPr="00BF7A66" w:rsidRDefault="00143E36" w:rsidP="0098421D">
            <w:pPr>
              <w:snapToGrid w:val="0"/>
              <w:jc w:val="right"/>
              <w:rPr>
                <w:sz w:val="20"/>
                <w:lang w:val="pt-PT"/>
              </w:rPr>
            </w:pPr>
            <w:r>
              <w:rPr>
                <w:sz w:val="20"/>
                <w:lang w:val="pt-PT"/>
              </w:rPr>
              <w:t>12,75</w:t>
            </w:r>
          </w:p>
        </w:tc>
        <w:tc>
          <w:tcPr>
            <w:tcW w:w="1275" w:type="dxa"/>
            <w:vAlign w:val="center"/>
          </w:tcPr>
          <w:p w:rsidR="00595EDB" w:rsidRPr="00BF7A66" w:rsidRDefault="00143E36" w:rsidP="0098421D">
            <w:pPr>
              <w:snapToGrid w:val="0"/>
              <w:jc w:val="right"/>
              <w:rPr>
                <w:sz w:val="20"/>
                <w:lang w:val="pt-PT"/>
              </w:rPr>
            </w:pPr>
            <w:r>
              <w:rPr>
                <w:sz w:val="20"/>
                <w:lang w:val="pt-PT"/>
              </w:rPr>
              <w:t>1.275,00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169</w:t>
            </w:r>
          </w:p>
        </w:tc>
        <w:tc>
          <w:tcPr>
            <w:tcW w:w="4395" w:type="dxa"/>
            <w:vAlign w:val="center"/>
          </w:tcPr>
          <w:p w:rsidR="00595EDB" w:rsidRPr="00BF7A66" w:rsidRDefault="00595EDB" w:rsidP="0098421D">
            <w:pPr>
              <w:rPr>
                <w:sz w:val="20"/>
              </w:rPr>
            </w:pPr>
            <w:r w:rsidRPr="00BF7A66">
              <w:rPr>
                <w:sz w:val="20"/>
              </w:rPr>
              <w:t xml:space="preserve">Luva de procedimento, em vinil sem pó, descartável, ambidestra, antialérgica, sem amido, transparente. Tamanho </w:t>
            </w:r>
            <w:r w:rsidRPr="00BF7A66">
              <w:rPr>
                <w:b/>
                <w:sz w:val="20"/>
              </w:rPr>
              <w:t>P</w:t>
            </w:r>
            <w:r w:rsidRPr="00BF7A66">
              <w:rPr>
                <w:sz w:val="20"/>
              </w:rPr>
              <w:t xml:space="preserve">. Validade: 02 anos. </w:t>
            </w:r>
          </w:p>
          <w:p w:rsidR="00595EDB" w:rsidRPr="00BF7A66" w:rsidRDefault="00595EDB" w:rsidP="0098421D">
            <w:pPr>
              <w:rPr>
                <w:sz w:val="20"/>
              </w:rPr>
            </w:pPr>
            <w:r w:rsidRPr="00BF7A66">
              <w:rPr>
                <w:sz w:val="20"/>
              </w:rPr>
              <w:t>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cx</w:t>
            </w:r>
          </w:p>
        </w:tc>
        <w:tc>
          <w:tcPr>
            <w:tcW w:w="1276" w:type="dxa"/>
            <w:vAlign w:val="center"/>
          </w:tcPr>
          <w:p w:rsidR="00595EDB" w:rsidRPr="00BF7A66" w:rsidRDefault="00143E36" w:rsidP="0098421D">
            <w:pPr>
              <w:snapToGrid w:val="0"/>
              <w:rPr>
                <w:sz w:val="20"/>
                <w:lang w:val="es-ES_tradnl"/>
              </w:rPr>
            </w:pPr>
            <w:r>
              <w:rPr>
                <w:sz w:val="20"/>
                <w:lang w:val="es-ES_tradnl"/>
              </w:rPr>
              <w:t>DESCARPACK</w:t>
            </w:r>
          </w:p>
        </w:tc>
        <w:tc>
          <w:tcPr>
            <w:tcW w:w="1134" w:type="dxa"/>
            <w:vAlign w:val="center"/>
          </w:tcPr>
          <w:p w:rsidR="00595EDB" w:rsidRPr="00BF7A66" w:rsidRDefault="00143E36" w:rsidP="0098421D">
            <w:pPr>
              <w:snapToGrid w:val="0"/>
              <w:jc w:val="right"/>
              <w:rPr>
                <w:sz w:val="20"/>
                <w:lang w:val="es-ES_tradnl"/>
              </w:rPr>
            </w:pPr>
            <w:r>
              <w:rPr>
                <w:sz w:val="20"/>
                <w:lang w:val="es-ES_tradnl"/>
              </w:rPr>
              <w:t>12,50</w:t>
            </w:r>
          </w:p>
        </w:tc>
        <w:tc>
          <w:tcPr>
            <w:tcW w:w="1275" w:type="dxa"/>
            <w:vAlign w:val="center"/>
          </w:tcPr>
          <w:p w:rsidR="00595EDB" w:rsidRPr="00BF7A66" w:rsidRDefault="00143E36" w:rsidP="0098421D">
            <w:pPr>
              <w:snapToGrid w:val="0"/>
              <w:jc w:val="right"/>
              <w:rPr>
                <w:sz w:val="20"/>
                <w:lang w:val="es-ES_tradnl"/>
              </w:rPr>
            </w:pPr>
            <w:r>
              <w:rPr>
                <w:sz w:val="20"/>
                <w:lang w:val="es-ES_tradnl"/>
              </w:rPr>
              <w:t>1.250,00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170</w:t>
            </w:r>
          </w:p>
        </w:tc>
        <w:tc>
          <w:tcPr>
            <w:tcW w:w="4395" w:type="dxa"/>
            <w:vAlign w:val="center"/>
          </w:tcPr>
          <w:p w:rsidR="00595EDB" w:rsidRPr="00BF7A66" w:rsidRDefault="00595EDB" w:rsidP="0098421D">
            <w:pPr>
              <w:rPr>
                <w:sz w:val="20"/>
              </w:rPr>
            </w:pPr>
            <w:r w:rsidRPr="00BF7A66">
              <w:rPr>
                <w:sz w:val="20"/>
              </w:rPr>
              <w:t xml:space="preserve">Luva de procedimento, em vinil sem pó, descartável, ambidestra, antialérgica, sem amido, transparente. Tamanho </w:t>
            </w:r>
            <w:r w:rsidRPr="00BF7A66">
              <w:rPr>
                <w:b/>
                <w:sz w:val="20"/>
              </w:rPr>
              <w:t>PP</w:t>
            </w:r>
            <w:r w:rsidRPr="00BF7A66">
              <w:rPr>
                <w:sz w:val="20"/>
              </w:rPr>
              <w:t xml:space="preserve"> Validade: 02 anos. </w:t>
            </w:r>
          </w:p>
          <w:p w:rsidR="00595EDB" w:rsidRPr="00BF7A66" w:rsidRDefault="00595EDB" w:rsidP="0098421D">
            <w:pPr>
              <w:rPr>
                <w:sz w:val="20"/>
              </w:rPr>
            </w:pPr>
            <w:r w:rsidRPr="00BF7A66">
              <w:rPr>
                <w:sz w:val="20"/>
              </w:rPr>
              <w:t>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cx</w:t>
            </w:r>
          </w:p>
        </w:tc>
        <w:tc>
          <w:tcPr>
            <w:tcW w:w="1276" w:type="dxa"/>
            <w:vAlign w:val="center"/>
          </w:tcPr>
          <w:p w:rsidR="00595EDB" w:rsidRPr="00BF7A66" w:rsidRDefault="00143E36" w:rsidP="0098421D">
            <w:pPr>
              <w:snapToGrid w:val="0"/>
              <w:rPr>
                <w:sz w:val="20"/>
                <w:lang w:val="pt-PT"/>
              </w:rPr>
            </w:pPr>
            <w:r>
              <w:rPr>
                <w:sz w:val="20"/>
                <w:lang w:val="pt-PT"/>
              </w:rPr>
              <w:t>DESCARPACK</w:t>
            </w:r>
          </w:p>
        </w:tc>
        <w:tc>
          <w:tcPr>
            <w:tcW w:w="1134" w:type="dxa"/>
            <w:vAlign w:val="center"/>
          </w:tcPr>
          <w:p w:rsidR="00595EDB" w:rsidRPr="00BF7A66" w:rsidRDefault="00143E36" w:rsidP="0098421D">
            <w:pPr>
              <w:snapToGrid w:val="0"/>
              <w:jc w:val="right"/>
              <w:rPr>
                <w:sz w:val="20"/>
                <w:lang w:val="pt-PT"/>
              </w:rPr>
            </w:pPr>
            <w:r>
              <w:rPr>
                <w:sz w:val="20"/>
                <w:lang w:val="pt-PT"/>
              </w:rPr>
              <w:t>12,75</w:t>
            </w:r>
          </w:p>
        </w:tc>
        <w:tc>
          <w:tcPr>
            <w:tcW w:w="1275" w:type="dxa"/>
            <w:vAlign w:val="center"/>
          </w:tcPr>
          <w:p w:rsidR="00595EDB" w:rsidRPr="00BF7A66" w:rsidRDefault="00143E36" w:rsidP="0098421D">
            <w:pPr>
              <w:snapToGrid w:val="0"/>
              <w:jc w:val="right"/>
              <w:rPr>
                <w:sz w:val="20"/>
                <w:lang w:val="pt-PT"/>
              </w:rPr>
            </w:pPr>
            <w:r>
              <w:rPr>
                <w:sz w:val="20"/>
                <w:lang w:val="pt-PT"/>
              </w:rPr>
              <w:t>1.275,00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217</w:t>
            </w:r>
          </w:p>
        </w:tc>
        <w:tc>
          <w:tcPr>
            <w:tcW w:w="4395" w:type="dxa"/>
            <w:vAlign w:val="center"/>
          </w:tcPr>
          <w:p w:rsidR="00595EDB" w:rsidRPr="00BF7A66" w:rsidRDefault="00595EDB" w:rsidP="0098421D">
            <w:pPr>
              <w:rPr>
                <w:sz w:val="20"/>
                <w:lang w:eastAsia="pt-BR"/>
              </w:rPr>
            </w:pPr>
            <w:r w:rsidRPr="00BF7A66">
              <w:rPr>
                <w:sz w:val="20"/>
                <w:lang w:eastAsia="pt-BR"/>
              </w:rPr>
              <w:t xml:space="preserve">Saco para lixo hospitalar – branco – capacidade 100 litros.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3.000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361DA" w:rsidP="0098421D">
            <w:pPr>
              <w:snapToGrid w:val="0"/>
              <w:rPr>
                <w:sz w:val="20"/>
                <w:lang w:val="pt-PT"/>
              </w:rPr>
            </w:pPr>
            <w:r>
              <w:rPr>
                <w:sz w:val="20"/>
                <w:lang w:val="pt-PT"/>
              </w:rPr>
              <w:t>EREPLAST</w:t>
            </w:r>
          </w:p>
        </w:tc>
        <w:tc>
          <w:tcPr>
            <w:tcW w:w="1134" w:type="dxa"/>
            <w:vAlign w:val="center"/>
          </w:tcPr>
          <w:p w:rsidR="00595EDB" w:rsidRPr="00BF7A66" w:rsidRDefault="00A361DA" w:rsidP="0098421D">
            <w:pPr>
              <w:snapToGrid w:val="0"/>
              <w:jc w:val="right"/>
              <w:rPr>
                <w:sz w:val="20"/>
                <w:lang w:val="pt-PT"/>
              </w:rPr>
            </w:pPr>
            <w:r>
              <w:rPr>
                <w:sz w:val="20"/>
                <w:lang w:val="pt-PT"/>
              </w:rPr>
              <w:t>0,255</w:t>
            </w:r>
          </w:p>
        </w:tc>
        <w:tc>
          <w:tcPr>
            <w:tcW w:w="1275" w:type="dxa"/>
            <w:vAlign w:val="center"/>
          </w:tcPr>
          <w:p w:rsidR="00595EDB" w:rsidRPr="00BF7A66" w:rsidRDefault="00A361DA" w:rsidP="0098421D">
            <w:pPr>
              <w:snapToGrid w:val="0"/>
              <w:jc w:val="right"/>
              <w:rPr>
                <w:sz w:val="20"/>
                <w:lang w:val="pt-PT"/>
              </w:rPr>
            </w:pPr>
            <w:r>
              <w:rPr>
                <w:sz w:val="20"/>
                <w:lang w:val="pt-PT"/>
              </w:rPr>
              <w:t>765,00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220</w:t>
            </w:r>
          </w:p>
        </w:tc>
        <w:tc>
          <w:tcPr>
            <w:tcW w:w="4395" w:type="dxa"/>
            <w:vAlign w:val="center"/>
          </w:tcPr>
          <w:p w:rsidR="00595EDB" w:rsidRPr="00BF7A66" w:rsidRDefault="00595EDB" w:rsidP="0098421D">
            <w:pPr>
              <w:rPr>
                <w:sz w:val="20"/>
                <w:lang w:eastAsia="pt-BR"/>
              </w:rPr>
            </w:pPr>
            <w:r w:rsidRPr="00BF7A66">
              <w:rPr>
                <w:sz w:val="20"/>
                <w:lang w:eastAsia="pt-BR"/>
              </w:rPr>
              <w:t>Seladora com controle da temperatura através de termostato. Acionamento através de pedal. Mesa de apoio com controle de altura. Comprimento da solda 350 mm (sem limitações laterais). Largura da solda 12 mm. Estrutura em chapa de aço 18. Pintura epóxi. Voltagem: 110 ou 220 V. Dimensões aproximadas: 350 x 250 x 940 mm. Garantia: 12 meses para defeito de fabricação. Assistência técnica permanente pelo fabricante.</w:t>
            </w:r>
          </w:p>
        </w:tc>
        <w:tc>
          <w:tcPr>
            <w:tcW w:w="850" w:type="dxa"/>
            <w:vAlign w:val="center"/>
          </w:tcPr>
          <w:p w:rsidR="00595EDB" w:rsidRPr="00BF7A66" w:rsidRDefault="00595EDB" w:rsidP="0098421D">
            <w:pPr>
              <w:jc w:val="right"/>
              <w:rPr>
                <w:sz w:val="20"/>
              </w:rPr>
            </w:pPr>
            <w:r w:rsidRPr="00BF7A66">
              <w:rPr>
                <w:sz w:val="20"/>
              </w:rPr>
              <w:t>18</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361DA" w:rsidP="0098421D">
            <w:pPr>
              <w:snapToGrid w:val="0"/>
              <w:rPr>
                <w:sz w:val="20"/>
                <w:lang w:val="pt-PT"/>
              </w:rPr>
            </w:pPr>
            <w:r>
              <w:rPr>
                <w:sz w:val="20"/>
                <w:lang w:val="pt-PT"/>
              </w:rPr>
              <w:t>METAL BREY</w:t>
            </w:r>
          </w:p>
        </w:tc>
        <w:tc>
          <w:tcPr>
            <w:tcW w:w="1134" w:type="dxa"/>
            <w:vAlign w:val="center"/>
          </w:tcPr>
          <w:p w:rsidR="00595EDB" w:rsidRPr="00BF7A66" w:rsidRDefault="00A361DA" w:rsidP="0098421D">
            <w:pPr>
              <w:snapToGrid w:val="0"/>
              <w:jc w:val="right"/>
              <w:rPr>
                <w:sz w:val="20"/>
                <w:lang w:val="pt-PT"/>
              </w:rPr>
            </w:pPr>
            <w:r>
              <w:rPr>
                <w:sz w:val="20"/>
                <w:lang w:val="pt-PT"/>
              </w:rPr>
              <w:t>412,50</w:t>
            </w:r>
          </w:p>
        </w:tc>
        <w:tc>
          <w:tcPr>
            <w:tcW w:w="1275" w:type="dxa"/>
            <w:vAlign w:val="center"/>
          </w:tcPr>
          <w:p w:rsidR="00595EDB" w:rsidRPr="00BF7A66" w:rsidRDefault="00A361DA" w:rsidP="0098421D">
            <w:pPr>
              <w:snapToGrid w:val="0"/>
              <w:jc w:val="right"/>
              <w:rPr>
                <w:sz w:val="20"/>
                <w:lang w:val="pt-PT"/>
              </w:rPr>
            </w:pPr>
            <w:r>
              <w:rPr>
                <w:sz w:val="20"/>
                <w:lang w:val="pt-PT"/>
              </w:rPr>
              <w:t>7.425,00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222</w:t>
            </w:r>
          </w:p>
        </w:tc>
        <w:tc>
          <w:tcPr>
            <w:tcW w:w="4395" w:type="dxa"/>
            <w:vAlign w:val="center"/>
          </w:tcPr>
          <w:p w:rsidR="00595EDB" w:rsidRPr="00BF7A66" w:rsidRDefault="00595EDB" w:rsidP="0098421D">
            <w:pPr>
              <w:rPr>
                <w:sz w:val="20"/>
                <w:lang w:eastAsia="pt-BR"/>
              </w:rPr>
            </w:pPr>
            <w:r w:rsidRPr="00BF7A66">
              <w:rPr>
                <w:sz w:val="20"/>
              </w:rPr>
              <w:t xml:space="preserve">Seringa para insulina sem dispositivo de segurança, </w:t>
            </w:r>
            <w:r w:rsidRPr="00BF7A66">
              <w:rPr>
                <w:b/>
                <w:sz w:val="20"/>
              </w:rPr>
              <w:t>1 ml</w:t>
            </w:r>
            <w:r w:rsidRPr="00BF7A66">
              <w:rPr>
                <w:sz w:val="20"/>
              </w:rPr>
              <w:t xml:space="preserve">, em polipropileno, estéril, siliconizada, descartável, com agulha 13 x 4,5. Embolo com anel interno emborrachado para melhor retenção do líquido. Embalada individualmente em papel grau cirúrgico contendo as informações sobre tipo, data e validade da esterilização, procedência, fabricante, número do lote, registro no MS (na caixa e na embalagem individual). Apresentar na proposta registro na ANVISA e AFE do fabricante. </w:t>
            </w:r>
          </w:p>
        </w:tc>
        <w:tc>
          <w:tcPr>
            <w:tcW w:w="850" w:type="dxa"/>
            <w:vAlign w:val="center"/>
          </w:tcPr>
          <w:p w:rsidR="00595EDB" w:rsidRPr="00BF7A66" w:rsidRDefault="00595EDB" w:rsidP="0098421D">
            <w:pPr>
              <w:jc w:val="right"/>
              <w:rPr>
                <w:sz w:val="20"/>
              </w:rPr>
            </w:pPr>
            <w:r w:rsidRPr="00BF7A66">
              <w:rPr>
                <w:sz w:val="20"/>
              </w:rPr>
              <w:t>25.000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361DA" w:rsidP="0098421D">
            <w:pPr>
              <w:snapToGrid w:val="0"/>
              <w:rPr>
                <w:sz w:val="20"/>
                <w:lang w:val="es-ES_tradnl"/>
              </w:rPr>
            </w:pPr>
            <w:r>
              <w:rPr>
                <w:sz w:val="20"/>
                <w:lang w:val="es-ES_tradnl"/>
              </w:rPr>
              <w:t>DESCARPACK</w:t>
            </w:r>
          </w:p>
        </w:tc>
        <w:tc>
          <w:tcPr>
            <w:tcW w:w="1134" w:type="dxa"/>
            <w:vAlign w:val="center"/>
          </w:tcPr>
          <w:p w:rsidR="00595EDB" w:rsidRPr="00BF7A66" w:rsidRDefault="00A361DA" w:rsidP="0098421D">
            <w:pPr>
              <w:snapToGrid w:val="0"/>
              <w:jc w:val="right"/>
              <w:rPr>
                <w:sz w:val="20"/>
                <w:lang w:val="es-ES_tradnl"/>
              </w:rPr>
            </w:pPr>
            <w:r>
              <w:rPr>
                <w:sz w:val="20"/>
                <w:lang w:val="es-ES_tradnl"/>
              </w:rPr>
              <w:t>0,15</w:t>
            </w:r>
          </w:p>
        </w:tc>
        <w:tc>
          <w:tcPr>
            <w:tcW w:w="1275" w:type="dxa"/>
            <w:vAlign w:val="center"/>
          </w:tcPr>
          <w:p w:rsidR="00595EDB" w:rsidRPr="00BF7A66" w:rsidRDefault="00A361DA" w:rsidP="0098421D">
            <w:pPr>
              <w:snapToGrid w:val="0"/>
              <w:jc w:val="right"/>
              <w:rPr>
                <w:sz w:val="20"/>
                <w:lang w:val="es-ES_tradnl"/>
              </w:rPr>
            </w:pPr>
            <w:r>
              <w:rPr>
                <w:sz w:val="20"/>
                <w:lang w:val="es-ES_tradnl"/>
              </w:rPr>
              <w:t>3.750,00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260</w:t>
            </w:r>
          </w:p>
        </w:tc>
        <w:tc>
          <w:tcPr>
            <w:tcW w:w="4395" w:type="dxa"/>
            <w:vAlign w:val="center"/>
          </w:tcPr>
          <w:p w:rsidR="00595EDB" w:rsidRPr="00BF7A66" w:rsidRDefault="00595EDB" w:rsidP="0098421D">
            <w:pPr>
              <w:rPr>
                <w:sz w:val="20"/>
                <w:lang w:eastAsia="pt-BR"/>
              </w:rPr>
            </w:pPr>
            <w:r w:rsidRPr="00BF7A66">
              <w:rPr>
                <w:sz w:val="20"/>
                <w:lang w:eastAsia="pt-BR"/>
              </w:rPr>
              <w:t>Soro fisiológico 0,9%, frasco com fácil adaptação ao equipo para infusão parenteral sistema fechado, c/ 250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4.500</w:t>
            </w:r>
          </w:p>
        </w:tc>
        <w:tc>
          <w:tcPr>
            <w:tcW w:w="709" w:type="dxa"/>
            <w:vAlign w:val="center"/>
          </w:tcPr>
          <w:p w:rsidR="00595EDB" w:rsidRPr="00BF7A66" w:rsidRDefault="00595EDB" w:rsidP="0098421D">
            <w:pPr>
              <w:jc w:val="center"/>
              <w:rPr>
                <w:sz w:val="20"/>
              </w:rPr>
            </w:pPr>
            <w:r w:rsidRPr="00BF7A66">
              <w:rPr>
                <w:sz w:val="20"/>
              </w:rPr>
              <w:t>fco</w:t>
            </w:r>
          </w:p>
        </w:tc>
        <w:tc>
          <w:tcPr>
            <w:tcW w:w="1276" w:type="dxa"/>
            <w:vAlign w:val="center"/>
          </w:tcPr>
          <w:p w:rsidR="00595EDB" w:rsidRPr="00BF7A66" w:rsidRDefault="009B6C8E" w:rsidP="0098421D">
            <w:pPr>
              <w:snapToGrid w:val="0"/>
              <w:rPr>
                <w:sz w:val="20"/>
                <w:lang w:val="pt-PT"/>
              </w:rPr>
            </w:pPr>
            <w:r>
              <w:rPr>
                <w:sz w:val="20"/>
                <w:lang w:val="pt-PT"/>
              </w:rPr>
              <w:t>EQUIPLEX</w:t>
            </w:r>
          </w:p>
        </w:tc>
        <w:tc>
          <w:tcPr>
            <w:tcW w:w="1134" w:type="dxa"/>
            <w:vAlign w:val="center"/>
          </w:tcPr>
          <w:p w:rsidR="00595EDB" w:rsidRPr="00BF7A66" w:rsidRDefault="009B6C8E" w:rsidP="0098421D">
            <w:pPr>
              <w:snapToGrid w:val="0"/>
              <w:jc w:val="right"/>
              <w:rPr>
                <w:sz w:val="20"/>
                <w:lang w:val="pt-PT"/>
              </w:rPr>
            </w:pPr>
            <w:r>
              <w:rPr>
                <w:sz w:val="20"/>
                <w:lang w:val="pt-PT"/>
              </w:rPr>
              <w:t>2,30</w:t>
            </w:r>
          </w:p>
        </w:tc>
        <w:tc>
          <w:tcPr>
            <w:tcW w:w="1275" w:type="dxa"/>
            <w:vAlign w:val="center"/>
          </w:tcPr>
          <w:p w:rsidR="00595EDB" w:rsidRPr="00BF7A66" w:rsidRDefault="009B6C8E" w:rsidP="0098421D">
            <w:pPr>
              <w:snapToGrid w:val="0"/>
              <w:jc w:val="right"/>
              <w:rPr>
                <w:sz w:val="20"/>
                <w:lang w:val="pt-PT"/>
              </w:rPr>
            </w:pPr>
            <w:r>
              <w:rPr>
                <w:sz w:val="20"/>
                <w:lang w:val="pt-PT"/>
              </w:rPr>
              <w:t>10.350,00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261</w:t>
            </w:r>
          </w:p>
        </w:tc>
        <w:tc>
          <w:tcPr>
            <w:tcW w:w="4395" w:type="dxa"/>
            <w:vAlign w:val="center"/>
          </w:tcPr>
          <w:p w:rsidR="00595EDB" w:rsidRPr="00BF7A66" w:rsidRDefault="00595EDB" w:rsidP="0098421D">
            <w:pPr>
              <w:rPr>
                <w:sz w:val="20"/>
                <w:lang w:eastAsia="pt-BR"/>
              </w:rPr>
            </w:pPr>
            <w:r w:rsidRPr="00BF7A66">
              <w:rPr>
                <w:sz w:val="20"/>
                <w:lang w:eastAsia="pt-BR"/>
              </w:rPr>
              <w:t>Soro fisiológico 0,9%, frasco com fácil adaptação ao equipo para infusão parenteral sistema fechado, c/ 500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3.000</w:t>
            </w:r>
          </w:p>
        </w:tc>
        <w:tc>
          <w:tcPr>
            <w:tcW w:w="709" w:type="dxa"/>
            <w:vAlign w:val="center"/>
          </w:tcPr>
          <w:p w:rsidR="00595EDB" w:rsidRPr="00BF7A66" w:rsidRDefault="00595EDB" w:rsidP="0098421D">
            <w:pPr>
              <w:jc w:val="center"/>
              <w:rPr>
                <w:sz w:val="20"/>
              </w:rPr>
            </w:pPr>
            <w:r w:rsidRPr="00BF7A66">
              <w:rPr>
                <w:sz w:val="20"/>
              </w:rPr>
              <w:t>fco</w:t>
            </w:r>
          </w:p>
        </w:tc>
        <w:tc>
          <w:tcPr>
            <w:tcW w:w="1276" w:type="dxa"/>
            <w:vAlign w:val="center"/>
          </w:tcPr>
          <w:p w:rsidR="00595EDB" w:rsidRPr="00BF7A66" w:rsidRDefault="009B6C8E" w:rsidP="0098421D">
            <w:pPr>
              <w:snapToGrid w:val="0"/>
              <w:rPr>
                <w:sz w:val="20"/>
                <w:lang w:val="pt-PT"/>
              </w:rPr>
            </w:pPr>
            <w:r>
              <w:rPr>
                <w:sz w:val="20"/>
                <w:lang w:val="pt-PT"/>
              </w:rPr>
              <w:t>EQUIPLEX</w:t>
            </w:r>
          </w:p>
        </w:tc>
        <w:tc>
          <w:tcPr>
            <w:tcW w:w="1134" w:type="dxa"/>
            <w:vAlign w:val="center"/>
          </w:tcPr>
          <w:p w:rsidR="00595EDB" w:rsidRPr="00BF7A66" w:rsidRDefault="009B6C8E" w:rsidP="0098421D">
            <w:pPr>
              <w:snapToGrid w:val="0"/>
              <w:jc w:val="right"/>
              <w:rPr>
                <w:sz w:val="20"/>
                <w:lang w:val="pt-PT"/>
              </w:rPr>
            </w:pPr>
            <w:r>
              <w:rPr>
                <w:sz w:val="20"/>
                <w:lang w:val="pt-PT"/>
              </w:rPr>
              <w:t>2,97</w:t>
            </w:r>
          </w:p>
        </w:tc>
        <w:tc>
          <w:tcPr>
            <w:tcW w:w="1275" w:type="dxa"/>
            <w:vAlign w:val="center"/>
          </w:tcPr>
          <w:p w:rsidR="00595EDB" w:rsidRPr="00BF7A66" w:rsidRDefault="009B6C8E" w:rsidP="0098421D">
            <w:pPr>
              <w:snapToGrid w:val="0"/>
              <w:jc w:val="right"/>
              <w:rPr>
                <w:sz w:val="20"/>
                <w:lang w:val="pt-PT"/>
              </w:rPr>
            </w:pPr>
            <w:r>
              <w:rPr>
                <w:sz w:val="20"/>
                <w:lang w:val="pt-PT"/>
              </w:rPr>
              <w:t>8.910,00</w:t>
            </w:r>
          </w:p>
        </w:tc>
      </w:tr>
      <w:tr w:rsidR="00595EDB" w:rsidRPr="00BF7A66" w:rsidTr="00A361DA">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264</w:t>
            </w:r>
          </w:p>
        </w:tc>
        <w:tc>
          <w:tcPr>
            <w:tcW w:w="4395" w:type="dxa"/>
            <w:vAlign w:val="center"/>
          </w:tcPr>
          <w:p w:rsidR="00595EDB" w:rsidRPr="00BF7A66" w:rsidRDefault="00595EDB" w:rsidP="0098421D">
            <w:pPr>
              <w:rPr>
                <w:sz w:val="20"/>
                <w:lang w:eastAsia="pt-BR"/>
              </w:rPr>
            </w:pPr>
            <w:r w:rsidRPr="00BF7A66">
              <w:rPr>
                <w:sz w:val="20"/>
                <w:lang w:eastAsia="pt-BR"/>
              </w:rPr>
              <w:t>Soro glicosado 0,5%, frasco - bolsa com fácil adaptação ao equipo para infusão parenteral sistema fechado, c/ 500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300</w:t>
            </w:r>
          </w:p>
        </w:tc>
        <w:tc>
          <w:tcPr>
            <w:tcW w:w="709" w:type="dxa"/>
            <w:vAlign w:val="center"/>
          </w:tcPr>
          <w:p w:rsidR="00595EDB" w:rsidRPr="00BF7A66" w:rsidRDefault="00595EDB" w:rsidP="0098421D">
            <w:pPr>
              <w:jc w:val="center"/>
              <w:rPr>
                <w:sz w:val="20"/>
              </w:rPr>
            </w:pPr>
            <w:r w:rsidRPr="00BF7A66">
              <w:rPr>
                <w:sz w:val="20"/>
              </w:rPr>
              <w:t>fco</w:t>
            </w:r>
          </w:p>
        </w:tc>
        <w:tc>
          <w:tcPr>
            <w:tcW w:w="1276" w:type="dxa"/>
            <w:vAlign w:val="center"/>
          </w:tcPr>
          <w:p w:rsidR="00595EDB" w:rsidRPr="00BF7A66" w:rsidRDefault="009B6C8E" w:rsidP="0098421D">
            <w:pPr>
              <w:snapToGrid w:val="0"/>
              <w:rPr>
                <w:sz w:val="20"/>
                <w:lang w:val="pt-PT"/>
              </w:rPr>
            </w:pPr>
            <w:r>
              <w:rPr>
                <w:sz w:val="20"/>
                <w:lang w:val="pt-PT"/>
              </w:rPr>
              <w:t>EQUIPLEX</w:t>
            </w:r>
          </w:p>
        </w:tc>
        <w:tc>
          <w:tcPr>
            <w:tcW w:w="1134" w:type="dxa"/>
            <w:vAlign w:val="center"/>
          </w:tcPr>
          <w:p w:rsidR="00595EDB" w:rsidRPr="00BF7A66" w:rsidRDefault="009B6C8E" w:rsidP="0098421D">
            <w:pPr>
              <w:snapToGrid w:val="0"/>
              <w:jc w:val="right"/>
              <w:rPr>
                <w:sz w:val="20"/>
                <w:lang w:val="pt-PT"/>
              </w:rPr>
            </w:pPr>
            <w:r>
              <w:rPr>
                <w:sz w:val="20"/>
                <w:lang w:val="pt-PT"/>
              </w:rPr>
              <w:t>3,15</w:t>
            </w:r>
          </w:p>
        </w:tc>
        <w:tc>
          <w:tcPr>
            <w:tcW w:w="1275" w:type="dxa"/>
            <w:vAlign w:val="center"/>
          </w:tcPr>
          <w:p w:rsidR="00595EDB" w:rsidRPr="00BF7A66" w:rsidRDefault="009B6C8E" w:rsidP="0098421D">
            <w:pPr>
              <w:snapToGrid w:val="0"/>
              <w:jc w:val="right"/>
              <w:rPr>
                <w:sz w:val="20"/>
                <w:lang w:val="pt-PT"/>
              </w:rPr>
            </w:pPr>
            <w:r>
              <w:rPr>
                <w:sz w:val="20"/>
                <w:lang w:val="pt-PT"/>
              </w:rPr>
              <w:t>945,00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834404" w:rsidP="0098421D">
            <w:pPr>
              <w:rPr>
                <w:sz w:val="20"/>
                <w:lang w:eastAsia="pt-BR"/>
              </w:rPr>
            </w:pPr>
            <w:r>
              <w:rPr>
                <w:sz w:val="20"/>
                <w:lang w:eastAsia="pt-BR"/>
              </w:rPr>
              <w:t>180.489,75</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lastRenderedPageBreak/>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A23D95" w:rsidRDefault="00595EDB" w:rsidP="00A23D95">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834404"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834404"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834404" w:rsidRDefault="00595EDB" w:rsidP="00834404">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834404"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834404"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834404"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834404" w:rsidRDefault="00595EDB" w:rsidP="00834404">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834404"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Não aceitar reduzir o seu preço registrado, na hipótese deste se tornar superior àqueles praticados </w:t>
      </w:r>
      <w:r w:rsidRPr="00BF7A66">
        <w:rPr>
          <w:rFonts w:cs="Arial"/>
        </w:rPr>
        <w:lastRenderedPageBreak/>
        <w:t>no mercado.</w:t>
      </w:r>
    </w:p>
    <w:p w:rsidR="00595EDB" w:rsidRPr="00834404"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834404"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834404"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834404"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834404"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834404"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0321E5" w:rsidP="00595EDB">
      <w:pPr>
        <w:tabs>
          <w:tab w:val="left" w:pos="1134"/>
        </w:tabs>
        <w:jc w:val="center"/>
        <w:rPr>
          <w:sz w:val="20"/>
        </w:rPr>
      </w:pPr>
      <w:r>
        <w:rPr>
          <w:sz w:val="20"/>
        </w:rPr>
        <w:t>PLASMEDIC COM. DE MAT. MEDICO E LABORATORIAL LTDA</w:t>
      </w:r>
    </w:p>
    <w:p w:rsidR="000321E5" w:rsidRDefault="000321E5" w:rsidP="00595EDB">
      <w:pPr>
        <w:tabs>
          <w:tab w:val="left" w:pos="1134"/>
        </w:tabs>
        <w:jc w:val="center"/>
        <w:rPr>
          <w:sz w:val="20"/>
        </w:rPr>
      </w:pPr>
      <w:r>
        <w:rPr>
          <w:sz w:val="20"/>
        </w:rPr>
        <w:t>NEDIO JUSTINO MASSOCHIN JUNIOR</w:t>
      </w:r>
    </w:p>
    <w:p w:rsidR="000321E5" w:rsidRDefault="000321E5" w:rsidP="00595EDB">
      <w:pPr>
        <w:tabs>
          <w:tab w:val="left" w:pos="1134"/>
        </w:tabs>
        <w:jc w:val="center"/>
        <w:rPr>
          <w:sz w:val="20"/>
        </w:rPr>
      </w:pPr>
    </w:p>
    <w:p w:rsidR="000321E5" w:rsidRPr="00BF7A66" w:rsidRDefault="000321E5"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BB" w:rsidRDefault="00DB20BB" w:rsidP="00DB20BB">
      <w:r>
        <w:separator/>
      </w:r>
    </w:p>
  </w:endnote>
  <w:endnote w:type="continuationSeparator" w:id="0">
    <w:p w:rsidR="00DB20BB" w:rsidRDefault="00DB20BB" w:rsidP="00DB20B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DB20BB">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DB20BB">
                <w:pPr>
                  <w:pStyle w:val="Rodap"/>
                </w:pPr>
                <w:r>
                  <w:rPr>
                    <w:rStyle w:val="Nmerodepgina"/>
                  </w:rPr>
                  <w:fldChar w:fldCharType="begin"/>
                </w:r>
                <w:r w:rsidR="0098421D">
                  <w:rPr>
                    <w:rStyle w:val="Nmerodepgina"/>
                  </w:rPr>
                  <w:instrText xml:space="preserve"> PAGE </w:instrText>
                </w:r>
                <w:r>
                  <w:rPr>
                    <w:rStyle w:val="Nmerodepgina"/>
                  </w:rPr>
                  <w:fldChar w:fldCharType="separate"/>
                </w:r>
                <w:r w:rsidR="000321E5">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BB" w:rsidRDefault="00DB20BB" w:rsidP="00DB20BB">
      <w:r>
        <w:separator/>
      </w:r>
    </w:p>
  </w:footnote>
  <w:footnote w:type="continuationSeparator" w:id="0">
    <w:p w:rsidR="00DB20BB" w:rsidRDefault="00DB20BB" w:rsidP="00DB2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DB20BB" w:rsidP="0098421D">
    <w:pPr>
      <w:ind w:left="1134"/>
      <w:rPr>
        <w:sz w:val="20"/>
      </w:rPr>
    </w:pPr>
    <w:r w:rsidRPr="00DB20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321E5"/>
    <w:rsid w:val="00076DDC"/>
    <w:rsid w:val="000931F4"/>
    <w:rsid w:val="000A08DC"/>
    <w:rsid w:val="000C09B6"/>
    <w:rsid w:val="000C4055"/>
    <w:rsid w:val="000C415F"/>
    <w:rsid w:val="000D73B2"/>
    <w:rsid w:val="001173EE"/>
    <w:rsid w:val="00135678"/>
    <w:rsid w:val="00136CE1"/>
    <w:rsid w:val="00142AA5"/>
    <w:rsid w:val="00143E36"/>
    <w:rsid w:val="001D1757"/>
    <w:rsid w:val="00215F35"/>
    <w:rsid w:val="00224EA4"/>
    <w:rsid w:val="00246311"/>
    <w:rsid w:val="002C0950"/>
    <w:rsid w:val="002C34BB"/>
    <w:rsid w:val="0031085E"/>
    <w:rsid w:val="003451DF"/>
    <w:rsid w:val="00361AF6"/>
    <w:rsid w:val="00375552"/>
    <w:rsid w:val="003A58AC"/>
    <w:rsid w:val="003C2BB6"/>
    <w:rsid w:val="003D6D59"/>
    <w:rsid w:val="00451822"/>
    <w:rsid w:val="00481181"/>
    <w:rsid w:val="004C7FED"/>
    <w:rsid w:val="00595EDB"/>
    <w:rsid w:val="00643006"/>
    <w:rsid w:val="00660F6C"/>
    <w:rsid w:val="006F3A2E"/>
    <w:rsid w:val="0071278B"/>
    <w:rsid w:val="00715B85"/>
    <w:rsid w:val="00754845"/>
    <w:rsid w:val="007713A1"/>
    <w:rsid w:val="0079340E"/>
    <w:rsid w:val="0079641C"/>
    <w:rsid w:val="00810FBE"/>
    <w:rsid w:val="0081133F"/>
    <w:rsid w:val="00834404"/>
    <w:rsid w:val="008A1EE8"/>
    <w:rsid w:val="008A47FE"/>
    <w:rsid w:val="008E5053"/>
    <w:rsid w:val="0092043A"/>
    <w:rsid w:val="00954139"/>
    <w:rsid w:val="009623C6"/>
    <w:rsid w:val="00963FF5"/>
    <w:rsid w:val="0098421D"/>
    <w:rsid w:val="009A18EF"/>
    <w:rsid w:val="009B5729"/>
    <w:rsid w:val="009B6C8E"/>
    <w:rsid w:val="009C64CF"/>
    <w:rsid w:val="009D7FC8"/>
    <w:rsid w:val="009F2051"/>
    <w:rsid w:val="00A23D95"/>
    <w:rsid w:val="00A361DA"/>
    <w:rsid w:val="00A37263"/>
    <w:rsid w:val="00A73FF0"/>
    <w:rsid w:val="00A81EA5"/>
    <w:rsid w:val="00AA7253"/>
    <w:rsid w:val="00AB61EE"/>
    <w:rsid w:val="00AE7436"/>
    <w:rsid w:val="00B357EE"/>
    <w:rsid w:val="00B426F0"/>
    <w:rsid w:val="00B61320"/>
    <w:rsid w:val="00BE333C"/>
    <w:rsid w:val="00BE7F53"/>
    <w:rsid w:val="00C44A15"/>
    <w:rsid w:val="00C77F3C"/>
    <w:rsid w:val="00CB71AB"/>
    <w:rsid w:val="00D1425D"/>
    <w:rsid w:val="00D73BC3"/>
    <w:rsid w:val="00DB20BB"/>
    <w:rsid w:val="00DF27B5"/>
    <w:rsid w:val="00DF3894"/>
    <w:rsid w:val="00E65F18"/>
    <w:rsid w:val="00EA6CE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2856</Words>
  <Characters>15427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2016-09-19T17:28:00Z</dcterms:created>
  <dcterms:modified xsi:type="dcterms:W3CDTF">2016-09-19T17:47:00Z</dcterms:modified>
</cp:coreProperties>
</file>