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0A5D53">
        <w:rPr>
          <w:b/>
          <w:sz w:val="20"/>
          <w:lang w:eastAsia="pt-BR"/>
        </w:rPr>
        <w:t>/2016/FMS/10</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0A5D53" w:rsidRDefault="00595EDB" w:rsidP="000A5D53">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ROBERTO TESSARO &amp; CIA LTDA-EPP</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AV XV DE NOVEMBRO, 818 – SL 06  -  49-3522-2794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85.248.680/0001-10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ROBERTO ANTONIO TESSARO</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RUA ARTHUR PEREIRA ALVES, 655 – JOAÇABA/SC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518.086.929-34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0A5D53" w:rsidP="0098421D">
            <w:pPr>
              <w:suppressAutoHyphens w:val="0"/>
              <w:autoSpaceDE w:val="0"/>
              <w:autoSpaceDN w:val="0"/>
              <w:adjustRightInd w:val="0"/>
              <w:rPr>
                <w:b/>
                <w:sz w:val="20"/>
                <w:lang w:eastAsia="pt-BR"/>
              </w:rPr>
            </w:pPr>
            <w:r>
              <w:rPr>
                <w:b/>
                <w:sz w:val="20"/>
                <w:lang w:eastAsia="pt-BR"/>
              </w:rPr>
              <w:t>2.140.493</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134"/>
        <w:gridCol w:w="1276"/>
        <w:gridCol w:w="1275"/>
      </w:tblGrid>
      <w:tr w:rsidR="00595EDB" w:rsidRPr="00BF7A66" w:rsidTr="0098421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134"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276"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w:t>
            </w:r>
          </w:p>
        </w:tc>
        <w:tc>
          <w:tcPr>
            <w:tcW w:w="4395" w:type="dxa"/>
            <w:vAlign w:val="center"/>
          </w:tcPr>
          <w:p w:rsidR="00595EDB" w:rsidRPr="00BF7A66" w:rsidRDefault="00595EDB" w:rsidP="0098421D">
            <w:pPr>
              <w:rPr>
                <w:sz w:val="20"/>
              </w:rPr>
            </w:pPr>
            <w:r w:rsidRPr="00BF7A66">
              <w:rPr>
                <w:sz w:val="20"/>
              </w:rPr>
              <w:t>Armário vitrine 02 portas com vidro – medidas: 1,50 x 0,65 x 0,40 m (A x L x P)</w:t>
            </w:r>
          </w:p>
        </w:tc>
        <w:tc>
          <w:tcPr>
            <w:tcW w:w="850" w:type="dxa"/>
            <w:vAlign w:val="center"/>
          </w:tcPr>
          <w:p w:rsidR="00595EDB" w:rsidRPr="00BF7A66" w:rsidRDefault="00595EDB" w:rsidP="0098421D">
            <w:pPr>
              <w:jc w:val="center"/>
              <w:rPr>
                <w:sz w:val="20"/>
              </w:rPr>
            </w:pPr>
            <w:r w:rsidRPr="00BF7A66">
              <w:rPr>
                <w:sz w:val="20"/>
              </w:rPr>
              <w:t>25</w:t>
            </w:r>
          </w:p>
        </w:tc>
        <w:tc>
          <w:tcPr>
            <w:tcW w:w="709" w:type="dxa"/>
            <w:vAlign w:val="center"/>
          </w:tcPr>
          <w:p w:rsidR="00595EDB" w:rsidRPr="00BF7A66" w:rsidRDefault="00595EDB" w:rsidP="0098421D">
            <w:pPr>
              <w:jc w:val="center"/>
              <w:rPr>
                <w:sz w:val="20"/>
              </w:rPr>
            </w:pPr>
            <w:r w:rsidRPr="00BF7A66">
              <w:rPr>
                <w:sz w:val="20"/>
              </w:rPr>
              <w:t>un</w:t>
            </w:r>
          </w:p>
        </w:tc>
        <w:tc>
          <w:tcPr>
            <w:tcW w:w="1134" w:type="dxa"/>
            <w:vAlign w:val="center"/>
          </w:tcPr>
          <w:p w:rsidR="00595EDB" w:rsidRPr="00BF7A66" w:rsidRDefault="000A5D53" w:rsidP="0098421D">
            <w:pPr>
              <w:snapToGrid w:val="0"/>
              <w:rPr>
                <w:sz w:val="20"/>
                <w:lang w:val="es-ES_tradnl"/>
              </w:rPr>
            </w:pPr>
            <w:r>
              <w:rPr>
                <w:sz w:val="20"/>
                <w:lang w:val="es-ES_tradnl"/>
              </w:rPr>
              <w:t>CELLI</w:t>
            </w:r>
          </w:p>
        </w:tc>
        <w:tc>
          <w:tcPr>
            <w:tcW w:w="1276" w:type="dxa"/>
            <w:vAlign w:val="center"/>
          </w:tcPr>
          <w:p w:rsidR="00595EDB" w:rsidRPr="00BF7A66" w:rsidRDefault="000A5D53" w:rsidP="0098421D">
            <w:pPr>
              <w:snapToGrid w:val="0"/>
              <w:jc w:val="right"/>
              <w:rPr>
                <w:sz w:val="20"/>
                <w:lang w:val="es-ES_tradnl"/>
              </w:rPr>
            </w:pPr>
            <w:r>
              <w:rPr>
                <w:sz w:val="20"/>
                <w:lang w:val="es-ES_tradnl"/>
              </w:rPr>
              <w:t>508,00</w:t>
            </w:r>
          </w:p>
        </w:tc>
        <w:tc>
          <w:tcPr>
            <w:tcW w:w="1275" w:type="dxa"/>
            <w:vAlign w:val="center"/>
          </w:tcPr>
          <w:p w:rsidR="00595EDB" w:rsidRPr="00BF7A66" w:rsidRDefault="000A5D53" w:rsidP="0098421D">
            <w:pPr>
              <w:snapToGrid w:val="0"/>
              <w:jc w:val="right"/>
              <w:rPr>
                <w:sz w:val="20"/>
                <w:lang w:val="es-ES_tradnl"/>
              </w:rPr>
            </w:pPr>
            <w:r>
              <w:rPr>
                <w:sz w:val="20"/>
                <w:lang w:val="es-ES_tradnl"/>
              </w:rPr>
              <w:t>12.700,00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823D72" w:rsidP="0098421D">
            <w:pPr>
              <w:rPr>
                <w:sz w:val="20"/>
                <w:lang w:eastAsia="pt-BR"/>
              </w:rPr>
            </w:pPr>
            <w:r>
              <w:rPr>
                <w:sz w:val="20"/>
                <w:lang w:eastAsia="pt-BR"/>
              </w:rPr>
              <w:t>12.700,00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lastRenderedPageBreak/>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w:t>
      </w:r>
      <w:r w:rsidRPr="00BF7A66">
        <w:rPr>
          <w:rFonts w:cs="Arial"/>
        </w:rPr>
        <w:lastRenderedPageBreak/>
        <w:t xml:space="preserve">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Nos termos do artigo 7° da Lei 10.520/2002, se a DETENDORA, convocada no prazo estipulado, não </w:t>
      </w:r>
      <w:r w:rsidRPr="00BF7A66">
        <w:rPr>
          <w:rFonts w:ascii="Arial" w:hAnsi="Arial" w:cs="Arial"/>
        </w:rPr>
        <w:lastRenderedPageBreak/>
        <w:t>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lastRenderedPageBreak/>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DC5A39" w:rsidP="00595EDB">
      <w:pPr>
        <w:tabs>
          <w:tab w:val="left" w:pos="1134"/>
        </w:tabs>
        <w:jc w:val="center"/>
        <w:rPr>
          <w:sz w:val="20"/>
        </w:rPr>
      </w:pPr>
      <w:r>
        <w:rPr>
          <w:sz w:val="20"/>
        </w:rPr>
        <w:t>ROBERTO TESSARO &amp; CIA LTDA – EPP</w:t>
      </w:r>
    </w:p>
    <w:p w:rsidR="00DC5A39" w:rsidRPr="00BF7A66" w:rsidRDefault="00DC5A39" w:rsidP="00595EDB">
      <w:pPr>
        <w:tabs>
          <w:tab w:val="left" w:pos="1134"/>
        </w:tabs>
        <w:jc w:val="center"/>
        <w:rPr>
          <w:sz w:val="20"/>
        </w:rPr>
      </w:pPr>
      <w:r>
        <w:rPr>
          <w:sz w:val="20"/>
        </w:rPr>
        <w:t>ROBERTO ANTONIO TESSARO</w:t>
      </w: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C2" w:rsidRDefault="00EF00C2" w:rsidP="00EF00C2">
      <w:r>
        <w:separator/>
      </w:r>
    </w:p>
  </w:endnote>
  <w:endnote w:type="continuationSeparator" w:id="0">
    <w:p w:rsidR="00EF00C2" w:rsidRDefault="00EF00C2" w:rsidP="00EF00C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EF00C2">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EF00C2">
                <w:pPr>
                  <w:pStyle w:val="Rodap"/>
                </w:pPr>
                <w:r>
                  <w:rPr>
                    <w:rStyle w:val="Nmerodepgina"/>
                  </w:rPr>
                  <w:fldChar w:fldCharType="begin"/>
                </w:r>
                <w:r w:rsidR="0098421D">
                  <w:rPr>
                    <w:rStyle w:val="Nmerodepgina"/>
                  </w:rPr>
                  <w:instrText xml:space="preserve"> PAGE </w:instrText>
                </w:r>
                <w:r>
                  <w:rPr>
                    <w:rStyle w:val="Nmerodepgina"/>
                  </w:rPr>
                  <w:fldChar w:fldCharType="separate"/>
                </w:r>
                <w:r w:rsidR="00DC5A39">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C2" w:rsidRDefault="00EF00C2" w:rsidP="00EF00C2">
      <w:r>
        <w:separator/>
      </w:r>
    </w:p>
  </w:footnote>
  <w:footnote w:type="continuationSeparator" w:id="0">
    <w:p w:rsidR="00EF00C2" w:rsidRDefault="00EF00C2" w:rsidP="00EF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EF00C2" w:rsidP="0098421D">
    <w:pPr>
      <w:ind w:left="1134"/>
      <w:rPr>
        <w:sz w:val="20"/>
      </w:rPr>
    </w:pPr>
    <w:r w:rsidRPr="00EF00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A5D53"/>
    <w:rsid w:val="000C09B6"/>
    <w:rsid w:val="000C4055"/>
    <w:rsid w:val="000C415F"/>
    <w:rsid w:val="000D73B2"/>
    <w:rsid w:val="001173EE"/>
    <w:rsid w:val="00135678"/>
    <w:rsid w:val="001D1757"/>
    <w:rsid w:val="00215F35"/>
    <w:rsid w:val="00224EA4"/>
    <w:rsid w:val="00246311"/>
    <w:rsid w:val="002C34BB"/>
    <w:rsid w:val="0031085E"/>
    <w:rsid w:val="003451DF"/>
    <w:rsid w:val="00361AF6"/>
    <w:rsid w:val="00375552"/>
    <w:rsid w:val="003A58AC"/>
    <w:rsid w:val="003C2BB6"/>
    <w:rsid w:val="003D6D59"/>
    <w:rsid w:val="00451822"/>
    <w:rsid w:val="00481181"/>
    <w:rsid w:val="004C7FED"/>
    <w:rsid w:val="00595EDB"/>
    <w:rsid w:val="00643006"/>
    <w:rsid w:val="00660F6C"/>
    <w:rsid w:val="006F3A2E"/>
    <w:rsid w:val="0071278B"/>
    <w:rsid w:val="00715B85"/>
    <w:rsid w:val="00754845"/>
    <w:rsid w:val="007713A1"/>
    <w:rsid w:val="00781CF7"/>
    <w:rsid w:val="0079340E"/>
    <w:rsid w:val="0079641C"/>
    <w:rsid w:val="00810FBE"/>
    <w:rsid w:val="0081133F"/>
    <w:rsid w:val="00823D72"/>
    <w:rsid w:val="008A1EE8"/>
    <w:rsid w:val="008A47FE"/>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C5A39"/>
    <w:rsid w:val="00DF27B5"/>
    <w:rsid w:val="00DF3894"/>
    <w:rsid w:val="00E65F18"/>
    <w:rsid w:val="00EA6CEB"/>
    <w:rsid w:val="00EF00C2"/>
    <w:rsid w:val="00F11DFB"/>
    <w:rsid w:val="00F310CC"/>
    <w:rsid w:val="00F57678"/>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2152</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2016-09-19T17:07:00Z</dcterms:created>
  <dcterms:modified xsi:type="dcterms:W3CDTF">2016-09-19T17:13:00Z</dcterms:modified>
</cp:coreProperties>
</file>