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793C68">
        <w:rPr>
          <w:b/>
          <w:sz w:val="20"/>
          <w:lang w:eastAsia="pt-BR"/>
        </w:rPr>
        <w:t>/2016/FMS/05</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 xml:space="preserve">MATERIAIS E EQUIPAMENTOS DE ENFERMAGEM DESTINADOS À MANUTENÇÃO DAS ATIVIDADES DO PRONTO ATENDIMENTO – PA, </w:t>
      </w:r>
      <w:proofErr w:type="spellStart"/>
      <w:r w:rsidRPr="00BF7A66">
        <w:rPr>
          <w:sz w:val="20"/>
          <w:lang w:eastAsia="pt-BR"/>
        </w:rPr>
        <w:t>ESF’s</w:t>
      </w:r>
      <w:proofErr w:type="spellEnd"/>
      <w:r w:rsidRPr="00BF7A66">
        <w:rPr>
          <w:sz w:val="20"/>
          <w:lang w:eastAsia="pt-BR"/>
        </w:rPr>
        <w:t xml:space="preserve">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w:t>
      </w:r>
      <w:proofErr w:type="gramStart"/>
      <w:r w:rsidRPr="00BF7A66">
        <w:rPr>
          <w:sz w:val="20"/>
        </w:rPr>
        <w:t>social(</w:t>
      </w:r>
      <w:proofErr w:type="gramEnd"/>
      <w:r w:rsidRPr="00BF7A66">
        <w:rPr>
          <w:sz w:val="20"/>
        </w:rPr>
        <w:t xml:space="preserve">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424368" w:rsidP="0098421D">
            <w:pPr>
              <w:suppressAutoHyphens w:val="0"/>
              <w:autoSpaceDE w:val="0"/>
              <w:autoSpaceDN w:val="0"/>
              <w:adjustRightInd w:val="0"/>
              <w:rPr>
                <w:b/>
                <w:sz w:val="20"/>
                <w:lang w:eastAsia="pt-BR"/>
              </w:rPr>
            </w:pPr>
            <w:proofErr w:type="spellStart"/>
            <w:r>
              <w:rPr>
                <w:b/>
                <w:sz w:val="20"/>
                <w:lang w:eastAsia="pt-BR"/>
              </w:rPr>
              <w:t>J.R.</w:t>
            </w:r>
            <w:proofErr w:type="spellEnd"/>
            <w:r>
              <w:rPr>
                <w:b/>
                <w:sz w:val="20"/>
                <w:lang w:eastAsia="pt-BR"/>
              </w:rPr>
              <w:t xml:space="preserve"> EHLKE &amp; CIA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424368" w:rsidP="0098421D">
            <w:pPr>
              <w:suppressAutoHyphens w:val="0"/>
              <w:autoSpaceDE w:val="0"/>
              <w:autoSpaceDN w:val="0"/>
              <w:adjustRightInd w:val="0"/>
              <w:rPr>
                <w:b/>
                <w:sz w:val="20"/>
                <w:lang w:eastAsia="pt-BR"/>
              </w:rPr>
            </w:pPr>
            <w:r>
              <w:rPr>
                <w:b/>
                <w:sz w:val="20"/>
                <w:lang w:eastAsia="pt-BR"/>
              </w:rPr>
              <w:t xml:space="preserve">AV. JOÃO GUALBERTO, 1661 – FONE: </w:t>
            </w:r>
            <w:proofErr w:type="gramStart"/>
            <w:r>
              <w:rPr>
                <w:b/>
                <w:sz w:val="20"/>
                <w:lang w:eastAsia="pt-BR"/>
              </w:rPr>
              <w:t>41-3352-2144</w:t>
            </w:r>
            <w:proofErr w:type="gramEnd"/>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424368" w:rsidP="0098421D">
            <w:pPr>
              <w:suppressAutoHyphens w:val="0"/>
              <w:autoSpaceDE w:val="0"/>
              <w:autoSpaceDN w:val="0"/>
              <w:adjustRightInd w:val="0"/>
              <w:rPr>
                <w:b/>
                <w:sz w:val="20"/>
                <w:lang w:eastAsia="pt-BR"/>
              </w:rPr>
            </w:pPr>
            <w:r>
              <w:rPr>
                <w:b/>
                <w:sz w:val="20"/>
                <w:lang w:eastAsia="pt-BR"/>
              </w:rPr>
              <w:t>76.730.076/0001-34</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424368" w:rsidP="0098421D">
            <w:pPr>
              <w:suppressAutoHyphens w:val="0"/>
              <w:autoSpaceDE w:val="0"/>
              <w:autoSpaceDN w:val="0"/>
              <w:adjustRightInd w:val="0"/>
              <w:rPr>
                <w:b/>
                <w:sz w:val="20"/>
                <w:lang w:eastAsia="pt-BR"/>
              </w:rPr>
            </w:pPr>
            <w:r>
              <w:rPr>
                <w:b/>
                <w:sz w:val="20"/>
                <w:lang w:eastAsia="pt-BR"/>
              </w:rPr>
              <w:t>JOSE ROMEU EHLKE</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527AE0" w:rsidP="0098421D">
            <w:pPr>
              <w:suppressAutoHyphens w:val="0"/>
              <w:autoSpaceDE w:val="0"/>
              <w:autoSpaceDN w:val="0"/>
              <w:adjustRightInd w:val="0"/>
              <w:rPr>
                <w:b/>
                <w:sz w:val="20"/>
                <w:lang w:eastAsia="pt-BR"/>
              </w:rPr>
            </w:pPr>
            <w:r>
              <w:rPr>
                <w:b/>
                <w:sz w:val="20"/>
                <w:lang w:eastAsia="pt-BR"/>
              </w:rPr>
              <w:t>AL. PRUDENTE DE MORAIS, 488 – 41-3352-</w:t>
            </w:r>
            <w:proofErr w:type="gramStart"/>
            <w:r>
              <w:rPr>
                <w:b/>
                <w:sz w:val="20"/>
                <w:lang w:eastAsia="pt-BR"/>
              </w:rPr>
              <w:t>2144</w:t>
            </w:r>
            <w:proofErr w:type="gramEnd"/>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527AE0" w:rsidP="0098421D">
            <w:pPr>
              <w:suppressAutoHyphens w:val="0"/>
              <w:autoSpaceDE w:val="0"/>
              <w:autoSpaceDN w:val="0"/>
              <w:adjustRightInd w:val="0"/>
              <w:rPr>
                <w:b/>
                <w:sz w:val="20"/>
                <w:lang w:eastAsia="pt-BR"/>
              </w:rPr>
            </w:pPr>
            <w:r>
              <w:rPr>
                <w:b/>
                <w:sz w:val="20"/>
                <w:lang w:eastAsia="pt-BR"/>
              </w:rPr>
              <w:t>027.853.159-87</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527AE0" w:rsidP="0098421D">
            <w:pPr>
              <w:suppressAutoHyphens w:val="0"/>
              <w:autoSpaceDE w:val="0"/>
              <w:autoSpaceDN w:val="0"/>
              <w:adjustRightInd w:val="0"/>
              <w:rPr>
                <w:b/>
                <w:sz w:val="20"/>
                <w:lang w:eastAsia="pt-BR"/>
              </w:rPr>
            </w:pPr>
            <w:r>
              <w:rPr>
                <w:b/>
                <w:sz w:val="20"/>
                <w:lang w:eastAsia="pt-BR"/>
              </w:rPr>
              <w:t>637.839-0</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134"/>
        <w:gridCol w:w="1276"/>
        <w:gridCol w:w="1275"/>
      </w:tblGrid>
      <w:tr w:rsidR="00595EDB" w:rsidRPr="00BF7A66" w:rsidTr="0098421D">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134"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1276"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297</w:t>
            </w:r>
          </w:p>
        </w:tc>
        <w:tc>
          <w:tcPr>
            <w:tcW w:w="4395" w:type="dxa"/>
            <w:vAlign w:val="center"/>
          </w:tcPr>
          <w:p w:rsidR="00595EDB" w:rsidRPr="00BF7A66" w:rsidRDefault="00595EDB" w:rsidP="0098421D">
            <w:pPr>
              <w:rPr>
                <w:sz w:val="20"/>
                <w:lang w:eastAsia="pt-BR"/>
              </w:rPr>
            </w:pPr>
            <w:r w:rsidRPr="00BF7A66">
              <w:rPr>
                <w:sz w:val="20"/>
                <w:lang w:eastAsia="pt-BR"/>
              </w:rPr>
              <w:t xml:space="preserve">Tubo p/ coleta de sangue a vácuo K2 EDTA (K2E) 7.2, tampa roxa – 4 </w:t>
            </w:r>
            <w:proofErr w:type="gramStart"/>
            <w:r w:rsidRPr="00BF7A66">
              <w:rPr>
                <w:sz w:val="20"/>
                <w:lang w:eastAsia="pt-BR"/>
              </w:rPr>
              <w:t>ml</w:t>
            </w:r>
            <w:proofErr w:type="gramEnd"/>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2.000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DD00F5" w:rsidP="0098421D">
            <w:pPr>
              <w:snapToGrid w:val="0"/>
              <w:rPr>
                <w:sz w:val="20"/>
                <w:lang w:val="pt-PT"/>
              </w:rPr>
            </w:pPr>
            <w:r>
              <w:rPr>
                <w:sz w:val="20"/>
                <w:lang w:val="pt-PT"/>
              </w:rPr>
              <w:t>GREINER</w:t>
            </w:r>
          </w:p>
        </w:tc>
        <w:tc>
          <w:tcPr>
            <w:tcW w:w="1276" w:type="dxa"/>
            <w:vAlign w:val="center"/>
          </w:tcPr>
          <w:p w:rsidR="00595EDB" w:rsidRPr="00BF7A66" w:rsidRDefault="00DD00F5" w:rsidP="0098421D">
            <w:pPr>
              <w:snapToGrid w:val="0"/>
              <w:jc w:val="right"/>
              <w:rPr>
                <w:sz w:val="20"/>
                <w:lang w:val="pt-PT"/>
              </w:rPr>
            </w:pPr>
            <w:r>
              <w:rPr>
                <w:sz w:val="20"/>
                <w:lang w:val="pt-PT"/>
              </w:rPr>
              <w:t>0,50</w:t>
            </w:r>
          </w:p>
        </w:tc>
        <w:tc>
          <w:tcPr>
            <w:tcW w:w="1275" w:type="dxa"/>
            <w:vAlign w:val="center"/>
          </w:tcPr>
          <w:p w:rsidR="00595EDB" w:rsidRPr="00BF7A66" w:rsidRDefault="00DD00F5" w:rsidP="0098421D">
            <w:pPr>
              <w:snapToGrid w:val="0"/>
              <w:jc w:val="right"/>
              <w:rPr>
                <w:sz w:val="20"/>
                <w:lang w:val="pt-PT"/>
              </w:rPr>
            </w:pPr>
            <w:r>
              <w:rPr>
                <w:sz w:val="20"/>
                <w:lang w:val="pt-PT"/>
              </w:rPr>
              <w:t>1.000,00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DD00F5" w:rsidP="0098421D">
            <w:pPr>
              <w:rPr>
                <w:sz w:val="20"/>
                <w:lang w:eastAsia="pt-BR"/>
              </w:rPr>
            </w:pPr>
            <w:r>
              <w:rPr>
                <w:sz w:val="20"/>
                <w:lang w:eastAsia="pt-BR"/>
              </w:rPr>
              <w:t>1.000,00</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lastRenderedPageBreak/>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 xml:space="preserve">CLÁUSULA QUARTA – DA FORMA DE PAGAMENTO, DO REAJUSTE E DA </w:t>
      </w:r>
      <w:proofErr w:type="gramStart"/>
      <w:r w:rsidRPr="00BF7A66">
        <w:rPr>
          <w:b/>
          <w:sz w:val="20"/>
        </w:rPr>
        <w:t>REVISÃO</w:t>
      </w:r>
      <w:proofErr w:type="gramEnd"/>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poderão serão revisados quando houver alteração dos valores, devidamente comprovada, nos termos da alínea “d”, inciso II, do art. 65 da Lei nº 8.666/93 e alterações, mediante requerimento </w:t>
      </w:r>
      <w:r w:rsidRPr="00BF7A66">
        <w:rPr>
          <w:rFonts w:cs="Arial"/>
        </w:rPr>
        <w:lastRenderedPageBreak/>
        <w:t>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lastRenderedPageBreak/>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BF7A66"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BF7A66" w:rsidRDefault="00595EDB" w:rsidP="00595EDB">
      <w:pPr>
        <w:widowControl w:val="0"/>
        <w:ind w:left="426"/>
        <w:jc w:val="both"/>
        <w:rPr>
          <w:sz w:val="20"/>
        </w:rPr>
      </w:pPr>
    </w:p>
    <w:p w:rsidR="00595EDB" w:rsidRPr="00BF7A66"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BF7A66" w:rsidRDefault="00595EDB" w:rsidP="00595EDB">
      <w:pPr>
        <w:widowControl w:val="0"/>
        <w:ind w:left="426" w:hanging="426"/>
        <w:jc w:val="both"/>
        <w:rPr>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A declaração de nulidade deste instrumento opera retroativamente impedindo os efeitos jurídicos que </w:t>
      </w:r>
      <w:r w:rsidRPr="00BF7A66">
        <w:rPr>
          <w:rFonts w:ascii="Arial" w:hAnsi="Arial" w:cs="Arial"/>
          <w:b w:val="0"/>
          <w:sz w:val="20"/>
        </w:rPr>
        <w:lastRenderedPageBreak/>
        <w:t>ele, ordinariamente, deveria produzir, além de desconstituir os já produzidos.</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pStyle w:val="Corpodetexto21"/>
        <w:tabs>
          <w:tab w:val="left" w:pos="0"/>
        </w:tabs>
        <w:rPr>
          <w:sz w:val="20"/>
          <w:szCs w:val="20"/>
        </w:rPr>
      </w:pP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DD00F5" w:rsidP="00595EDB">
      <w:pPr>
        <w:tabs>
          <w:tab w:val="left" w:pos="1134"/>
        </w:tabs>
        <w:jc w:val="center"/>
        <w:rPr>
          <w:sz w:val="20"/>
        </w:rPr>
      </w:pPr>
      <w:proofErr w:type="spellStart"/>
      <w:r>
        <w:rPr>
          <w:sz w:val="20"/>
        </w:rPr>
        <w:t>J.R.</w:t>
      </w:r>
      <w:proofErr w:type="spellEnd"/>
      <w:r>
        <w:rPr>
          <w:sz w:val="20"/>
        </w:rPr>
        <w:t xml:space="preserve"> EHLKE &amp; CIA LTDA</w:t>
      </w:r>
    </w:p>
    <w:p w:rsidR="00DD00F5" w:rsidRDefault="00DD00F5" w:rsidP="00595EDB">
      <w:pPr>
        <w:tabs>
          <w:tab w:val="left" w:pos="1134"/>
        </w:tabs>
        <w:jc w:val="center"/>
        <w:rPr>
          <w:sz w:val="20"/>
        </w:rPr>
      </w:pPr>
      <w:r>
        <w:rPr>
          <w:sz w:val="20"/>
        </w:rPr>
        <w:t>JOSÉ ROMEU EHLKE</w:t>
      </w:r>
    </w:p>
    <w:p w:rsidR="00DD00F5" w:rsidRDefault="00DD00F5" w:rsidP="00595EDB">
      <w:pPr>
        <w:tabs>
          <w:tab w:val="left" w:pos="1134"/>
        </w:tabs>
        <w:jc w:val="center"/>
        <w:rPr>
          <w:sz w:val="20"/>
        </w:rPr>
      </w:pPr>
    </w:p>
    <w:p w:rsidR="00DD00F5" w:rsidRPr="00BF7A66" w:rsidRDefault="00DD00F5"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42" w:rsidRDefault="00111742" w:rsidP="00111742">
      <w:r>
        <w:separator/>
      </w:r>
    </w:p>
  </w:endnote>
  <w:endnote w:type="continuationSeparator" w:id="0">
    <w:p w:rsidR="00111742" w:rsidRDefault="00111742" w:rsidP="0011174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111742">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111742">
                <w:pPr>
                  <w:pStyle w:val="Rodap"/>
                </w:pPr>
                <w:r>
                  <w:rPr>
                    <w:rStyle w:val="Nmerodepgina"/>
                  </w:rPr>
                  <w:fldChar w:fldCharType="begin"/>
                </w:r>
                <w:r w:rsidR="0098421D">
                  <w:rPr>
                    <w:rStyle w:val="Nmerodepgina"/>
                  </w:rPr>
                  <w:instrText xml:space="preserve"> PAGE </w:instrText>
                </w:r>
                <w:r>
                  <w:rPr>
                    <w:rStyle w:val="Nmerodepgina"/>
                  </w:rPr>
                  <w:fldChar w:fldCharType="separate"/>
                </w:r>
                <w:r w:rsidR="00DD00F5">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42" w:rsidRDefault="00111742" w:rsidP="00111742">
      <w:r>
        <w:separator/>
      </w:r>
    </w:p>
  </w:footnote>
  <w:footnote w:type="continuationSeparator" w:id="0">
    <w:p w:rsidR="00111742" w:rsidRDefault="00111742" w:rsidP="00111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111742" w:rsidP="0098421D">
    <w:pPr>
      <w:ind w:left="1134"/>
      <w:rPr>
        <w:sz w:val="20"/>
      </w:rPr>
    </w:pPr>
    <w:r w:rsidRPr="001117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C09B6"/>
    <w:rsid w:val="000C4055"/>
    <w:rsid w:val="000C415F"/>
    <w:rsid w:val="000D73B2"/>
    <w:rsid w:val="00111742"/>
    <w:rsid w:val="001173EE"/>
    <w:rsid w:val="00135678"/>
    <w:rsid w:val="001D1757"/>
    <w:rsid w:val="00215F35"/>
    <w:rsid w:val="00224EA4"/>
    <w:rsid w:val="00246311"/>
    <w:rsid w:val="002C34BB"/>
    <w:rsid w:val="0031085E"/>
    <w:rsid w:val="003451DF"/>
    <w:rsid w:val="00361AF6"/>
    <w:rsid w:val="00375552"/>
    <w:rsid w:val="003A58AC"/>
    <w:rsid w:val="003C2BB6"/>
    <w:rsid w:val="003C30D3"/>
    <w:rsid w:val="003D6D59"/>
    <w:rsid w:val="00424368"/>
    <w:rsid w:val="00451822"/>
    <w:rsid w:val="00481181"/>
    <w:rsid w:val="004C7FED"/>
    <w:rsid w:val="00527AE0"/>
    <w:rsid w:val="00595EDB"/>
    <w:rsid w:val="00643006"/>
    <w:rsid w:val="00660F6C"/>
    <w:rsid w:val="006F3A2E"/>
    <w:rsid w:val="0071278B"/>
    <w:rsid w:val="00715B85"/>
    <w:rsid w:val="00754845"/>
    <w:rsid w:val="007713A1"/>
    <w:rsid w:val="0079340E"/>
    <w:rsid w:val="00793C68"/>
    <w:rsid w:val="0079641C"/>
    <w:rsid w:val="00810FBE"/>
    <w:rsid w:val="0081133F"/>
    <w:rsid w:val="008A1EE8"/>
    <w:rsid w:val="008A47FE"/>
    <w:rsid w:val="008E5053"/>
    <w:rsid w:val="0092043A"/>
    <w:rsid w:val="009623C6"/>
    <w:rsid w:val="00963FF5"/>
    <w:rsid w:val="0098421D"/>
    <w:rsid w:val="009A18EF"/>
    <w:rsid w:val="009B5729"/>
    <w:rsid w:val="009C64CF"/>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D00F5"/>
    <w:rsid w:val="00DF27B5"/>
    <w:rsid w:val="00DF3894"/>
    <w:rsid w:val="00E65F18"/>
    <w:rsid w:val="00EA6CEB"/>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2150</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2016-09-16T20:39:00Z</dcterms:created>
  <dcterms:modified xsi:type="dcterms:W3CDTF">2016-09-16T20:45:00Z</dcterms:modified>
</cp:coreProperties>
</file>