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9520C2">
        <w:rPr>
          <w:b/>
          <w:sz w:val="20"/>
          <w:lang w:eastAsia="pt-BR"/>
        </w:rPr>
        <w:t>/2016/FMS/01</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9520C2" w:rsidP="0098421D">
            <w:pPr>
              <w:suppressAutoHyphens w:val="0"/>
              <w:autoSpaceDE w:val="0"/>
              <w:autoSpaceDN w:val="0"/>
              <w:adjustRightInd w:val="0"/>
              <w:rPr>
                <w:b/>
                <w:sz w:val="20"/>
                <w:lang w:eastAsia="pt-BR"/>
              </w:rPr>
            </w:pPr>
            <w:r>
              <w:rPr>
                <w:b/>
                <w:sz w:val="20"/>
                <w:lang w:eastAsia="pt-BR"/>
              </w:rPr>
              <w:t>DAMEDI DAMBROS COM. DE MEDIC.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370170" w:rsidP="0098421D">
            <w:pPr>
              <w:suppressAutoHyphens w:val="0"/>
              <w:autoSpaceDE w:val="0"/>
              <w:autoSpaceDN w:val="0"/>
              <w:adjustRightInd w:val="0"/>
              <w:rPr>
                <w:b/>
                <w:sz w:val="20"/>
                <w:lang w:eastAsia="pt-BR"/>
              </w:rPr>
            </w:pPr>
            <w:r>
              <w:rPr>
                <w:b/>
                <w:sz w:val="20"/>
                <w:lang w:eastAsia="pt-BR"/>
              </w:rPr>
              <w:t xml:space="preserve">RUA PARANA, 299 – FONE: </w:t>
            </w:r>
            <w:proofErr w:type="gramStart"/>
            <w:r>
              <w:rPr>
                <w:b/>
                <w:sz w:val="20"/>
                <w:lang w:eastAsia="pt-BR"/>
              </w:rPr>
              <w:t>46-3220.</w:t>
            </w:r>
            <w:proofErr w:type="gramEnd"/>
            <w:r>
              <w:rPr>
                <w:b/>
                <w:sz w:val="20"/>
                <w:lang w:eastAsia="pt-BR"/>
              </w:rPr>
              <w:t>4949</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370170" w:rsidP="0098421D">
            <w:pPr>
              <w:suppressAutoHyphens w:val="0"/>
              <w:autoSpaceDE w:val="0"/>
              <w:autoSpaceDN w:val="0"/>
              <w:adjustRightInd w:val="0"/>
              <w:rPr>
                <w:b/>
                <w:sz w:val="20"/>
                <w:lang w:eastAsia="pt-BR"/>
              </w:rPr>
            </w:pPr>
            <w:r>
              <w:rPr>
                <w:b/>
                <w:sz w:val="20"/>
                <w:lang w:eastAsia="pt-BR"/>
              </w:rPr>
              <w:t>95.368.320/0001-05</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370170" w:rsidP="0098421D">
            <w:pPr>
              <w:suppressAutoHyphens w:val="0"/>
              <w:autoSpaceDE w:val="0"/>
              <w:autoSpaceDN w:val="0"/>
              <w:adjustRightInd w:val="0"/>
              <w:rPr>
                <w:b/>
                <w:sz w:val="20"/>
                <w:lang w:eastAsia="pt-BR"/>
              </w:rPr>
            </w:pPr>
            <w:r>
              <w:rPr>
                <w:b/>
                <w:sz w:val="20"/>
                <w:lang w:eastAsia="pt-BR"/>
              </w:rPr>
              <w:t>MARIA ROSANGELA RONSSEN DAMBROS</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370170" w:rsidP="0098421D">
            <w:pPr>
              <w:suppressAutoHyphens w:val="0"/>
              <w:autoSpaceDE w:val="0"/>
              <w:autoSpaceDN w:val="0"/>
              <w:adjustRightInd w:val="0"/>
              <w:rPr>
                <w:b/>
                <w:sz w:val="20"/>
                <w:lang w:eastAsia="pt-BR"/>
              </w:rPr>
            </w:pPr>
            <w:r>
              <w:rPr>
                <w:b/>
                <w:sz w:val="20"/>
                <w:lang w:eastAsia="pt-BR"/>
              </w:rPr>
              <w:t xml:space="preserve">RUA PARANA, 299 </w:t>
            </w:r>
            <w:r w:rsidR="00D23BA3">
              <w:rPr>
                <w:b/>
                <w:sz w:val="20"/>
                <w:lang w:eastAsia="pt-BR"/>
              </w:rPr>
              <w:t>–</w:t>
            </w:r>
            <w:r>
              <w:rPr>
                <w:b/>
                <w:sz w:val="20"/>
                <w:lang w:eastAsia="pt-BR"/>
              </w:rPr>
              <w:t xml:space="preserve"> </w:t>
            </w:r>
            <w:r w:rsidR="00D23BA3">
              <w:rPr>
                <w:b/>
                <w:sz w:val="20"/>
                <w:lang w:eastAsia="pt-BR"/>
              </w:rPr>
              <w:t>PATO BRANCO/</w:t>
            </w:r>
            <w:proofErr w:type="gramStart"/>
            <w:r w:rsidR="00D23BA3">
              <w:rPr>
                <w:b/>
                <w:sz w:val="20"/>
                <w:lang w:eastAsia="pt-BR"/>
              </w:rPr>
              <w:t>PR</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D23BA3" w:rsidP="0098421D">
            <w:pPr>
              <w:suppressAutoHyphens w:val="0"/>
              <w:autoSpaceDE w:val="0"/>
              <w:autoSpaceDN w:val="0"/>
              <w:adjustRightInd w:val="0"/>
              <w:rPr>
                <w:b/>
                <w:sz w:val="20"/>
                <w:lang w:eastAsia="pt-BR"/>
              </w:rPr>
            </w:pPr>
            <w:r>
              <w:rPr>
                <w:b/>
                <w:sz w:val="20"/>
                <w:lang w:eastAsia="pt-BR"/>
              </w:rPr>
              <w:t>855.226.439-00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D23BA3" w:rsidP="0098421D">
            <w:pPr>
              <w:suppressAutoHyphens w:val="0"/>
              <w:autoSpaceDE w:val="0"/>
              <w:autoSpaceDN w:val="0"/>
              <w:adjustRightInd w:val="0"/>
              <w:rPr>
                <w:b/>
                <w:sz w:val="20"/>
                <w:lang w:eastAsia="pt-BR"/>
              </w:rPr>
            </w:pPr>
            <w:r>
              <w:rPr>
                <w:b/>
                <w:sz w:val="20"/>
                <w:lang w:eastAsia="pt-BR"/>
              </w:rPr>
              <w:t>3.582.409-0</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417"/>
        <w:gridCol w:w="993"/>
        <w:gridCol w:w="1275"/>
      </w:tblGrid>
      <w:tr w:rsidR="00595EDB" w:rsidRPr="00BF7A66" w:rsidTr="00331973">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417"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993"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w:t>
            </w:r>
          </w:p>
        </w:tc>
        <w:tc>
          <w:tcPr>
            <w:tcW w:w="4395" w:type="dxa"/>
            <w:vAlign w:val="center"/>
          </w:tcPr>
          <w:p w:rsidR="00595EDB" w:rsidRPr="00BF7A66" w:rsidRDefault="00595EDB" w:rsidP="0098421D">
            <w:pPr>
              <w:rPr>
                <w:sz w:val="20"/>
              </w:rPr>
            </w:pPr>
            <w:r w:rsidRPr="00BF7A66">
              <w:rPr>
                <w:sz w:val="20"/>
              </w:rPr>
              <w:t xml:space="preserve">Álcool líquido, concentração 70%, validade mínima de 24 meses a partir da data de entrega. Apresentação: frasco de 1000 ml. </w:t>
            </w:r>
          </w:p>
          <w:p w:rsidR="00595EDB" w:rsidRPr="00BF7A66" w:rsidRDefault="00595EDB" w:rsidP="0098421D">
            <w:pPr>
              <w:rPr>
                <w:i/>
                <w:sz w:val="20"/>
              </w:rPr>
            </w:pPr>
            <w:r w:rsidRPr="00BF7A66">
              <w:rPr>
                <w:i/>
                <w:sz w:val="20"/>
              </w:rPr>
              <w:t>Apresentar AFE de saneantes na proposta.</w:t>
            </w:r>
          </w:p>
        </w:tc>
        <w:tc>
          <w:tcPr>
            <w:tcW w:w="850" w:type="dxa"/>
            <w:vAlign w:val="center"/>
          </w:tcPr>
          <w:p w:rsidR="00595EDB" w:rsidRPr="00BF7A66" w:rsidRDefault="00595EDB" w:rsidP="0098421D">
            <w:pPr>
              <w:jc w:val="right"/>
              <w:rPr>
                <w:sz w:val="20"/>
              </w:rPr>
            </w:pPr>
            <w:r w:rsidRPr="00BF7A66">
              <w:rPr>
                <w:sz w:val="20"/>
              </w:rPr>
              <w:t>1.500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fco</w:t>
            </w:r>
            <w:proofErr w:type="spellEnd"/>
            <w:proofErr w:type="gramEnd"/>
          </w:p>
        </w:tc>
        <w:tc>
          <w:tcPr>
            <w:tcW w:w="1417" w:type="dxa"/>
            <w:vAlign w:val="center"/>
          </w:tcPr>
          <w:p w:rsidR="00595EDB" w:rsidRPr="00BF7A66" w:rsidRDefault="000A275E" w:rsidP="0098421D">
            <w:pPr>
              <w:snapToGrid w:val="0"/>
              <w:rPr>
                <w:sz w:val="20"/>
                <w:lang w:val="pt-PT"/>
              </w:rPr>
            </w:pPr>
            <w:r>
              <w:rPr>
                <w:sz w:val="20"/>
                <w:lang w:val="pt-PT"/>
              </w:rPr>
              <w:t>PROLINK</w:t>
            </w:r>
          </w:p>
        </w:tc>
        <w:tc>
          <w:tcPr>
            <w:tcW w:w="993" w:type="dxa"/>
            <w:vAlign w:val="center"/>
          </w:tcPr>
          <w:p w:rsidR="00595EDB" w:rsidRPr="00BF7A66" w:rsidRDefault="000A275E" w:rsidP="0098421D">
            <w:pPr>
              <w:snapToGrid w:val="0"/>
              <w:jc w:val="right"/>
              <w:rPr>
                <w:sz w:val="20"/>
                <w:lang w:val="pt-PT"/>
              </w:rPr>
            </w:pPr>
            <w:r>
              <w:rPr>
                <w:sz w:val="20"/>
                <w:lang w:val="pt-PT"/>
              </w:rPr>
              <w:t>3,70</w:t>
            </w:r>
          </w:p>
        </w:tc>
        <w:tc>
          <w:tcPr>
            <w:tcW w:w="1275" w:type="dxa"/>
            <w:vAlign w:val="center"/>
          </w:tcPr>
          <w:p w:rsidR="00595EDB" w:rsidRPr="00BF7A66" w:rsidRDefault="000A275E" w:rsidP="0098421D">
            <w:pPr>
              <w:snapToGrid w:val="0"/>
              <w:jc w:val="right"/>
              <w:rPr>
                <w:sz w:val="20"/>
                <w:lang w:val="pt-PT"/>
              </w:rPr>
            </w:pPr>
            <w:r>
              <w:rPr>
                <w:sz w:val="20"/>
                <w:lang w:val="pt-PT"/>
              </w:rPr>
              <w:t>5.550,00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w:t>
            </w:r>
          </w:p>
        </w:tc>
        <w:tc>
          <w:tcPr>
            <w:tcW w:w="4395" w:type="dxa"/>
            <w:vAlign w:val="center"/>
          </w:tcPr>
          <w:p w:rsidR="00595EDB" w:rsidRPr="00BF7A66" w:rsidRDefault="00595EDB" w:rsidP="0098421D">
            <w:pPr>
              <w:rPr>
                <w:sz w:val="20"/>
              </w:rPr>
            </w:pPr>
            <w:r w:rsidRPr="00BF7A66">
              <w:rPr>
                <w:sz w:val="20"/>
              </w:rPr>
              <w:t xml:space="preserve">Almotolia plástica em polietileno atóxico, tampa de rosca com bico reto. Capacidade de 250 ml. </w:t>
            </w:r>
          </w:p>
          <w:p w:rsidR="00595EDB" w:rsidRPr="00BF7A66" w:rsidRDefault="00595EDB" w:rsidP="0098421D">
            <w:pPr>
              <w:rPr>
                <w:sz w:val="20"/>
                <w:lang w:eastAsia="pt-BR"/>
              </w:rPr>
            </w:pPr>
            <w:r w:rsidRPr="00BF7A66">
              <w:rPr>
                <w:sz w:val="20"/>
              </w:rPr>
              <w:t>Cor escura / marrom.</w:t>
            </w:r>
          </w:p>
        </w:tc>
        <w:tc>
          <w:tcPr>
            <w:tcW w:w="850" w:type="dxa"/>
            <w:vAlign w:val="center"/>
          </w:tcPr>
          <w:p w:rsidR="00595EDB" w:rsidRPr="00BF7A66" w:rsidRDefault="00595EDB" w:rsidP="0098421D">
            <w:pPr>
              <w:jc w:val="center"/>
              <w:rPr>
                <w:sz w:val="20"/>
              </w:rPr>
            </w:pPr>
            <w:r w:rsidRPr="00BF7A66">
              <w:rPr>
                <w:sz w:val="20"/>
              </w:rPr>
              <w:t>90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0A275E" w:rsidP="0098421D">
            <w:pPr>
              <w:snapToGrid w:val="0"/>
              <w:rPr>
                <w:sz w:val="20"/>
                <w:lang w:val="pt-PT"/>
              </w:rPr>
            </w:pPr>
            <w:r>
              <w:rPr>
                <w:sz w:val="20"/>
                <w:lang w:val="pt-PT"/>
              </w:rPr>
              <w:t>TAYLOR</w:t>
            </w:r>
          </w:p>
        </w:tc>
        <w:tc>
          <w:tcPr>
            <w:tcW w:w="993" w:type="dxa"/>
            <w:vAlign w:val="center"/>
          </w:tcPr>
          <w:p w:rsidR="00595EDB" w:rsidRPr="00BF7A66" w:rsidRDefault="000A275E" w:rsidP="0098421D">
            <w:pPr>
              <w:snapToGrid w:val="0"/>
              <w:jc w:val="right"/>
              <w:rPr>
                <w:sz w:val="20"/>
                <w:lang w:val="pt-PT"/>
              </w:rPr>
            </w:pPr>
            <w:r>
              <w:rPr>
                <w:sz w:val="20"/>
                <w:lang w:val="pt-PT"/>
              </w:rPr>
              <w:t>2,05</w:t>
            </w:r>
          </w:p>
        </w:tc>
        <w:tc>
          <w:tcPr>
            <w:tcW w:w="1275" w:type="dxa"/>
            <w:vAlign w:val="center"/>
          </w:tcPr>
          <w:p w:rsidR="00595EDB" w:rsidRPr="00BF7A66" w:rsidRDefault="000A275E" w:rsidP="0098421D">
            <w:pPr>
              <w:snapToGrid w:val="0"/>
              <w:jc w:val="right"/>
              <w:rPr>
                <w:sz w:val="20"/>
                <w:lang w:val="pt-PT"/>
              </w:rPr>
            </w:pPr>
            <w:r>
              <w:rPr>
                <w:sz w:val="20"/>
                <w:lang w:val="pt-PT"/>
              </w:rPr>
              <w:t>184,50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24</w:t>
            </w:r>
          </w:p>
        </w:tc>
        <w:tc>
          <w:tcPr>
            <w:tcW w:w="4395" w:type="dxa"/>
            <w:vAlign w:val="center"/>
          </w:tcPr>
          <w:p w:rsidR="00595EDB" w:rsidRPr="00BF7A66" w:rsidRDefault="00595EDB" w:rsidP="0098421D">
            <w:pPr>
              <w:rPr>
                <w:sz w:val="20"/>
                <w:lang w:eastAsia="pt-BR"/>
              </w:rPr>
            </w:pPr>
            <w:r w:rsidRPr="00BF7A66">
              <w:rPr>
                <w:sz w:val="20"/>
                <w:lang w:eastAsia="pt-BR"/>
              </w:rPr>
              <w:t>Aparelho de Nebulização: Motor 50/60 Hz, 1/40HP. Dimensões mínimas: 125x155x170 mm. Pressão: 28 PSI. Taxa de Nebulização: 0,19 ml/min. Peso aproximado: 2,10 kg.</w:t>
            </w:r>
          </w:p>
          <w:p w:rsidR="00595EDB" w:rsidRPr="00BF7A66" w:rsidRDefault="00595EDB" w:rsidP="0098421D">
            <w:pPr>
              <w:rPr>
                <w:sz w:val="20"/>
                <w:lang w:eastAsia="pt-BR"/>
              </w:rPr>
            </w:pPr>
            <w:r w:rsidRPr="00BF7A66">
              <w:rPr>
                <w:sz w:val="20"/>
                <w:lang w:eastAsia="pt-BR"/>
              </w:rPr>
              <w:t>Tamanho da Partícula: 1 a 5 micra. Consumo de 130/140 Watts. Composto ainda por 02 máscaras anatômicas em PVC (adulto e infantil), com elásticos reguláveis. Bi volt. Garantia mínima de 12 meses.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A0FFA" w:rsidP="0098421D">
            <w:pPr>
              <w:snapToGrid w:val="0"/>
              <w:rPr>
                <w:sz w:val="20"/>
                <w:lang w:val="pt-PT"/>
              </w:rPr>
            </w:pPr>
            <w:r>
              <w:rPr>
                <w:sz w:val="20"/>
                <w:lang w:val="pt-PT"/>
              </w:rPr>
              <w:t>DARU</w:t>
            </w:r>
          </w:p>
        </w:tc>
        <w:tc>
          <w:tcPr>
            <w:tcW w:w="993" w:type="dxa"/>
            <w:vAlign w:val="center"/>
          </w:tcPr>
          <w:p w:rsidR="00595EDB" w:rsidRPr="00BF7A66" w:rsidRDefault="009A0FFA" w:rsidP="0098421D">
            <w:pPr>
              <w:snapToGrid w:val="0"/>
              <w:jc w:val="right"/>
              <w:rPr>
                <w:sz w:val="20"/>
                <w:lang w:val="pt-PT"/>
              </w:rPr>
            </w:pPr>
            <w:r>
              <w:rPr>
                <w:sz w:val="20"/>
                <w:lang w:val="pt-PT"/>
              </w:rPr>
              <w:t>110,00</w:t>
            </w:r>
          </w:p>
        </w:tc>
        <w:tc>
          <w:tcPr>
            <w:tcW w:w="1275" w:type="dxa"/>
            <w:vAlign w:val="center"/>
          </w:tcPr>
          <w:p w:rsidR="00595EDB" w:rsidRPr="00BF7A66" w:rsidRDefault="009A0FFA" w:rsidP="0098421D">
            <w:pPr>
              <w:snapToGrid w:val="0"/>
              <w:jc w:val="right"/>
              <w:rPr>
                <w:sz w:val="20"/>
                <w:lang w:val="pt-PT"/>
              </w:rPr>
            </w:pPr>
            <w:r>
              <w:rPr>
                <w:sz w:val="20"/>
                <w:lang w:val="pt-PT"/>
              </w:rPr>
              <w:t>2.200,00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67</w:t>
            </w:r>
          </w:p>
        </w:tc>
        <w:tc>
          <w:tcPr>
            <w:tcW w:w="4395" w:type="dxa"/>
            <w:vAlign w:val="center"/>
          </w:tcPr>
          <w:p w:rsidR="00595EDB" w:rsidRPr="00BF7A66" w:rsidRDefault="00595EDB" w:rsidP="0098421D">
            <w:pPr>
              <w:rPr>
                <w:sz w:val="20"/>
              </w:rPr>
            </w:pPr>
            <w:proofErr w:type="spellStart"/>
            <w:r w:rsidRPr="00BF7A66">
              <w:rPr>
                <w:sz w:val="20"/>
              </w:rPr>
              <w:t>Clorexidina</w:t>
            </w:r>
            <w:proofErr w:type="spellEnd"/>
            <w:r w:rsidRPr="00BF7A66">
              <w:rPr>
                <w:sz w:val="20"/>
              </w:rPr>
              <w:t xml:space="preserve"> solução </w:t>
            </w:r>
            <w:proofErr w:type="spellStart"/>
            <w:r w:rsidRPr="00BF7A66">
              <w:rPr>
                <w:sz w:val="20"/>
              </w:rPr>
              <w:t>degermante</w:t>
            </w:r>
            <w:proofErr w:type="spellEnd"/>
            <w:r w:rsidRPr="00BF7A66">
              <w:rPr>
                <w:sz w:val="20"/>
              </w:rPr>
              <w:t xml:space="preserve"> a 2% - frasco de 1litro.</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6D3A30" w:rsidP="0098421D">
            <w:pPr>
              <w:snapToGrid w:val="0"/>
              <w:rPr>
                <w:sz w:val="20"/>
                <w:lang w:val="pt-PT"/>
              </w:rPr>
            </w:pPr>
            <w:r>
              <w:rPr>
                <w:sz w:val="20"/>
                <w:lang w:val="pt-PT"/>
              </w:rPr>
              <w:t>VIC PHARMA</w:t>
            </w:r>
          </w:p>
        </w:tc>
        <w:tc>
          <w:tcPr>
            <w:tcW w:w="993" w:type="dxa"/>
            <w:vAlign w:val="center"/>
          </w:tcPr>
          <w:p w:rsidR="00595EDB" w:rsidRPr="00BF7A66" w:rsidRDefault="006D3A30" w:rsidP="0098421D">
            <w:pPr>
              <w:snapToGrid w:val="0"/>
              <w:jc w:val="right"/>
              <w:rPr>
                <w:sz w:val="20"/>
                <w:lang w:val="pt-PT"/>
              </w:rPr>
            </w:pPr>
            <w:r>
              <w:rPr>
                <w:sz w:val="20"/>
                <w:lang w:val="pt-PT"/>
              </w:rPr>
              <w:t>9,70</w:t>
            </w:r>
          </w:p>
        </w:tc>
        <w:tc>
          <w:tcPr>
            <w:tcW w:w="1275" w:type="dxa"/>
            <w:vAlign w:val="center"/>
          </w:tcPr>
          <w:p w:rsidR="00595EDB" w:rsidRPr="00BF7A66" w:rsidRDefault="006D3A30" w:rsidP="0098421D">
            <w:pPr>
              <w:snapToGrid w:val="0"/>
              <w:jc w:val="right"/>
              <w:rPr>
                <w:sz w:val="20"/>
                <w:lang w:val="pt-PT"/>
              </w:rPr>
            </w:pPr>
            <w:r>
              <w:rPr>
                <w:sz w:val="20"/>
                <w:lang w:val="pt-PT"/>
              </w:rPr>
              <w:t>1.940,00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91</w:t>
            </w:r>
          </w:p>
        </w:tc>
        <w:tc>
          <w:tcPr>
            <w:tcW w:w="4395" w:type="dxa"/>
            <w:vAlign w:val="center"/>
          </w:tcPr>
          <w:p w:rsidR="00595EDB" w:rsidRPr="00BF7A66" w:rsidRDefault="00595EDB" w:rsidP="0098421D">
            <w:pPr>
              <w:rPr>
                <w:sz w:val="20"/>
                <w:lang w:eastAsia="pt-BR"/>
              </w:rPr>
            </w:pPr>
            <w:r w:rsidRPr="00BF7A66">
              <w:rPr>
                <w:sz w:val="20"/>
                <w:lang w:eastAsia="pt-BR"/>
              </w:rPr>
              <w:t xml:space="preserve">Curativo redondo para pós-coleta de sangue. Caixa com 100 unidades. </w:t>
            </w:r>
          </w:p>
        </w:tc>
        <w:tc>
          <w:tcPr>
            <w:tcW w:w="850" w:type="dxa"/>
            <w:vAlign w:val="center"/>
          </w:tcPr>
          <w:p w:rsidR="00595EDB" w:rsidRPr="00BF7A66" w:rsidRDefault="00595EDB" w:rsidP="0098421D">
            <w:pPr>
              <w:jc w:val="right"/>
              <w:rPr>
                <w:sz w:val="20"/>
              </w:rPr>
            </w:pPr>
            <w:r w:rsidRPr="00BF7A66">
              <w:rPr>
                <w:sz w:val="20"/>
              </w:rPr>
              <w:t>600</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307F70" w:rsidP="0098421D">
            <w:pPr>
              <w:snapToGrid w:val="0"/>
              <w:rPr>
                <w:sz w:val="20"/>
                <w:lang w:val="es-ES_tradnl"/>
              </w:rPr>
            </w:pPr>
            <w:r>
              <w:rPr>
                <w:sz w:val="20"/>
                <w:lang w:val="es-ES_tradnl"/>
              </w:rPr>
              <w:t>CIEX</w:t>
            </w:r>
          </w:p>
        </w:tc>
        <w:tc>
          <w:tcPr>
            <w:tcW w:w="993" w:type="dxa"/>
            <w:vAlign w:val="center"/>
          </w:tcPr>
          <w:p w:rsidR="00595EDB" w:rsidRPr="00BF7A66" w:rsidRDefault="00307F70" w:rsidP="0098421D">
            <w:pPr>
              <w:snapToGrid w:val="0"/>
              <w:jc w:val="right"/>
              <w:rPr>
                <w:sz w:val="20"/>
                <w:lang w:val="es-ES_tradnl"/>
              </w:rPr>
            </w:pPr>
            <w:r>
              <w:rPr>
                <w:sz w:val="20"/>
                <w:lang w:val="es-ES_tradnl"/>
              </w:rPr>
              <w:t>2,40</w:t>
            </w:r>
          </w:p>
        </w:tc>
        <w:tc>
          <w:tcPr>
            <w:tcW w:w="1275" w:type="dxa"/>
            <w:vAlign w:val="center"/>
          </w:tcPr>
          <w:p w:rsidR="00595EDB" w:rsidRPr="00BF7A66" w:rsidRDefault="00307F70" w:rsidP="0098421D">
            <w:pPr>
              <w:snapToGrid w:val="0"/>
              <w:jc w:val="right"/>
              <w:rPr>
                <w:sz w:val="20"/>
                <w:lang w:val="es-ES_tradnl"/>
              </w:rPr>
            </w:pPr>
            <w:r>
              <w:rPr>
                <w:sz w:val="20"/>
                <w:lang w:val="es-ES_tradnl"/>
              </w:rPr>
              <w:t>1.440,00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129</w:t>
            </w:r>
          </w:p>
        </w:tc>
        <w:tc>
          <w:tcPr>
            <w:tcW w:w="4395" w:type="dxa"/>
            <w:vAlign w:val="center"/>
          </w:tcPr>
          <w:p w:rsidR="00595EDB" w:rsidRPr="00BF7A66" w:rsidRDefault="00595EDB" w:rsidP="0098421D">
            <w:pPr>
              <w:rPr>
                <w:sz w:val="20"/>
              </w:rPr>
            </w:pPr>
            <w:r w:rsidRPr="00BF7A66">
              <w:rPr>
                <w:sz w:val="20"/>
              </w:rPr>
              <w:t xml:space="preserve">Fio </w:t>
            </w:r>
            <w:proofErr w:type="spellStart"/>
            <w:r w:rsidRPr="00BF7A66">
              <w:rPr>
                <w:sz w:val="20"/>
              </w:rPr>
              <w:t>catgut</w:t>
            </w:r>
            <w:proofErr w:type="spellEnd"/>
            <w:r w:rsidRPr="00BF7A66">
              <w:rPr>
                <w:sz w:val="20"/>
              </w:rPr>
              <w:t xml:space="preserve"> absorvível agulhado estéril nº 6.0 - com 24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331973" w:rsidP="0098421D">
            <w:pPr>
              <w:snapToGrid w:val="0"/>
              <w:rPr>
                <w:sz w:val="20"/>
                <w:lang w:val="es-ES_tradnl"/>
              </w:rPr>
            </w:pPr>
            <w:r>
              <w:rPr>
                <w:sz w:val="20"/>
                <w:lang w:val="es-ES_tradnl"/>
              </w:rPr>
              <w:t>TECHNOFIO</w:t>
            </w:r>
          </w:p>
        </w:tc>
        <w:tc>
          <w:tcPr>
            <w:tcW w:w="993" w:type="dxa"/>
            <w:vAlign w:val="center"/>
          </w:tcPr>
          <w:p w:rsidR="00595EDB" w:rsidRPr="00BF7A66" w:rsidRDefault="00331973" w:rsidP="0098421D">
            <w:pPr>
              <w:snapToGrid w:val="0"/>
              <w:jc w:val="right"/>
              <w:rPr>
                <w:sz w:val="20"/>
                <w:lang w:val="es-ES_tradnl"/>
              </w:rPr>
            </w:pPr>
            <w:r>
              <w:rPr>
                <w:sz w:val="20"/>
                <w:lang w:val="es-ES_tradnl"/>
              </w:rPr>
              <w:t>78,50</w:t>
            </w:r>
          </w:p>
        </w:tc>
        <w:tc>
          <w:tcPr>
            <w:tcW w:w="1275" w:type="dxa"/>
            <w:vAlign w:val="center"/>
          </w:tcPr>
          <w:p w:rsidR="00595EDB" w:rsidRPr="00BF7A66" w:rsidRDefault="00331973" w:rsidP="0098421D">
            <w:pPr>
              <w:snapToGrid w:val="0"/>
              <w:jc w:val="right"/>
              <w:rPr>
                <w:sz w:val="20"/>
                <w:lang w:val="es-ES_tradnl"/>
              </w:rPr>
            </w:pPr>
            <w:r>
              <w:rPr>
                <w:sz w:val="20"/>
                <w:lang w:val="es-ES_tradnl"/>
              </w:rPr>
              <w:t>1.570,00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203</w:t>
            </w:r>
          </w:p>
        </w:tc>
        <w:tc>
          <w:tcPr>
            <w:tcW w:w="4395" w:type="dxa"/>
            <w:vAlign w:val="center"/>
          </w:tcPr>
          <w:p w:rsidR="00595EDB" w:rsidRPr="00BF7A66" w:rsidRDefault="00595EDB" w:rsidP="0098421D">
            <w:pPr>
              <w:rPr>
                <w:sz w:val="20"/>
                <w:lang w:eastAsia="pt-BR"/>
              </w:rPr>
            </w:pPr>
            <w:proofErr w:type="spellStart"/>
            <w:r w:rsidRPr="00BF7A66">
              <w:rPr>
                <w:i/>
                <w:sz w:val="20"/>
                <w:lang w:eastAsia="pt-BR"/>
              </w:rPr>
              <w:t>Polifix</w:t>
            </w:r>
            <w:proofErr w:type="spellEnd"/>
            <w:r w:rsidRPr="00BF7A66">
              <w:rPr>
                <w:sz w:val="20"/>
                <w:lang w:eastAsia="pt-BR"/>
              </w:rPr>
              <w:t xml:space="preserve"> 02 vias com tampa </w:t>
            </w:r>
            <w:proofErr w:type="gramStart"/>
            <w:r w:rsidRPr="00BF7A66">
              <w:rPr>
                <w:sz w:val="20"/>
                <w:lang w:eastAsia="pt-BR"/>
              </w:rPr>
              <w:t>completo</w:t>
            </w:r>
            <w:proofErr w:type="gramEnd"/>
            <w:r w:rsidRPr="00BF7A66">
              <w:rPr>
                <w:sz w:val="20"/>
                <w:lang w:eastAsia="pt-BR"/>
              </w:rPr>
              <w:t xml:space="preserve"> (Equipo c/ tampa completo)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380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E92895" w:rsidP="0098421D">
            <w:pPr>
              <w:snapToGrid w:val="0"/>
              <w:rPr>
                <w:sz w:val="20"/>
                <w:lang w:val="pt-PT"/>
              </w:rPr>
            </w:pPr>
            <w:r>
              <w:rPr>
                <w:sz w:val="20"/>
                <w:lang w:val="pt-PT"/>
              </w:rPr>
              <w:t>VITAL GOLD</w:t>
            </w:r>
          </w:p>
        </w:tc>
        <w:tc>
          <w:tcPr>
            <w:tcW w:w="993" w:type="dxa"/>
            <w:vAlign w:val="center"/>
          </w:tcPr>
          <w:p w:rsidR="00595EDB" w:rsidRPr="00BF7A66" w:rsidRDefault="00E92895" w:rsidP="0098421D">
            <w:pPr>
              <w:snapToGrid w:val="0"/>
              <w:jc w:val="right"/>
              <w:rPr>
                <w:sz w:val="20"/>
                <w:lang w:val="pt-PT"/>
              </w:rPr>
            </w:pPr>
            <w:r>
              <w:rPr>
                <w:sz w:val="20"/>
                <w:lang w:val="pt-PT"/>
              </w:rPr>
              <w:t>0,55</w:t>
            </w:r>
          </w:p>
        </w:tc>
        <w:tc>
          <w:tcPr>
            <w:tcW w:w="1275" w:type="dxa"/>
            <w:vAlign w:val="center"/>
          </w:tcPr>
          <w:p w:rsidR="00595EDB" w:rsidRPr="00BF7A66" w:rsidRDefault="00E92895" w:rsidP="0098421D">
            <w:pPr>
              <w:snapToGrid w:val="0"/>
              <w:jc w:val="right"/>
              <w:rPr>
                <w:sz w:val="20"/>
                <w:lang w:val="pt-PT"/>
              </w:rPr>
            </w:pPr>
            <w:r>
              <w:rPr>
                <w:sz w:val="20"/>
                <w:lang w:val="pt-PT"/>
              </w:rPr>
              <w:t>209,00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262</w:t>
            </w:r>
          </w:p>
        </w:tc>
        <w:tc>
          <w:tcPr>
            <w:tcW w:w="4395" w:type="dxa"/>
            <w:vAlign w:val="center"/>
          </w:tcPr>
          <w:p w:rsidR="00595EDB" w:rsidRPr="00BF7A66" w:rsidRDefault="00595EDB" w:rsidP="0098421D">
            <w:pPr>
              <w:rPr>
                <w:sz w:val="20"/>
                <w:lang w:eastAsia="pt-BR"/>
              </w:rPr>
            </w:pPr>
            <w:r w:rsidRPr="00BF7A66">
              <w:rPr>
                <w:sz w:val="20"/>
                <w:lang w:eastAsia="pt-BR"/>
              </w:rPr>
              <w:t xml:space="preserve">Soro </w:t>
            </w:r>
            <w:proofErr w:type="spellStart"/>
            <w:r w:rsidRPr="00BF7A66">
              <w:rPr>
                <w:sz w:val="20"/>
                <w:lang w:eastAsia="pt-BR"/>
              </w:rPr>
              <w:t>Glico-Fisiológico</w:t>
            </w:r>
            <w:proofErr w:type="spellEnd"/>
            <w:r w:rsidRPr="00BF7A66">
              <w:rPr>
                <w:sz w:val="20"/>
                <w:lang w:eastAsia="pt-BR"/>
              </w:rPr>
              <w:t xml:space="preserve"> 0,9% frasco - bolsa com fácil adaptação ao equipo para infusão parenteral sistema fechado, 250 </w:t>
            </w:r>
            <w:proofErr w:type="gramStart"/>
            <w:r w:rsidRPr="00BF7A66">
              <w:rPr>
                <w:sz w:val="20"/>
                <w:lang w:eastAsia="pt-BR"/>
              </w:rPr>
              <w:t>ml</w:t>
            </w:r>
            <w:proofErr w:type="gramEnd"/>
            <w:r w:rsidRPr="00BF7A66">
              <w:rPr>
                <w:sz w:val="20"/>
                <w:lang w:eastAsia="pt-BR"/>
              </w:rPr>
              <w:t xml:space="preserv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fco</w:t>
            </w:r>
            <w:proofErr w:type="spellEnd"/>
            <w:proofErr w:type="gramEnd"/>
          </w:p>
        </w:tc>
        <w:tc>
          <w:tcPr>
            <w:tcW w:w="1417" w:type="dxa"/>
            <w:vAlign w:val="center"/>
          </w:tcPr>
          <w:p w:rsidR="00595EDB" w:rsidRPr="00BF7A66" w:rsidRDefault="00C3627E" w:rsidP="0098421D">
            <w:pPr>
              <w:snapToGrid w:val="0"/>
              <w:rPr>
                <w:sz w:val="20"/>
                <w:lang w:val="pt-PT"/>
              </w:rPr>
            </w:pPr>
            <w:r>
              <w:rPr>
                <w:sz w:val="20"/>
                <w:lang w:val="pt-PT"/>
              </w:rPr>
              <w:t>HALEXISTAR</w:t>
            </w:r>
          </w:p>
        </w:tc>
        <w:tc>
          <w:tcPr>
            <w:tcW w:w="993" w:type="dxa"/>
            <w:vAlign w:val="center"/>
          </w:tcPr>
          <w:p w:rsidR="00595EDB" w:rsidRPr="00BF7A66" w:rsidRDefault="00C3627E" w:rsidP="0098421D">
            <w:pPr>
              <w:snapToGrid w:val="0"/>
              <w:jc w:val="right"/>
              <w:rPr>
                <w:sz w:val="20"/>
                <w:lang w:val="pt-PT"/>
              </w:rPr>
            </w:pPr>
            <w:r>
              <w:rPr>
                <w:sz w:val="20"/>
                <w:lang w:val="pt-PT"/>
              </w:rPr>
              <w:t>2,58</w:t>
            </w:r>
          </w:p>
        </w:tc>
        <w:tc>
          <w:tcPr>
            <w:tcW w:w="1275" w:type="dxa"/>
            <w:vAlign w:val="center"/>
          </w:tcPr>
          <w:p w:rsidR="00595EDB" w:rsidRPr="00BF7A66" w:rsidRDefault="00C3627E" w:rsidP="0098421D">
            <w:pPr>
              <w:snapToGrid w:val="0"/>
              <w:jc w:val="right"/>
              <w:rPr>
                <w:sz w:val="20"/>
                <w:lang w:val="pt-PT"/>
              </w:rPr>
            </w:pPr>
            <w:r>
              <w:rPr>
                <w:sz w:val="20"/>
                <w:lang w:val="pt-PT"/>
              </w:rPr>
              <w:t>2.580,00</w:t>
            </w:r>
          </w:p>
        </w:tc>
      </w:tr>
      <w:tr w:rsidR="00595EDB" w:rsidRPr="00BF7A66" w:rsidTr="00331973">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263</w:t>
            </w:r>
          </w:p>
        </w:tc>
        <w:tc>
          <w:tcPr>
            <w:tcW w:w="4395" w:type="dxa"/>
            <w:vAlign w:val="center"/>
          </w:tcPr>
          <w:p w:rsidR="00595EDB" w:rsidRPr="00BF7A66" w:rsidRDefault="00595EDB" w:rsidP="0098421D">
            <w:pPr>
              <w:rPr>
                <w:sz w:val="20"/>
                <w:lang w:eastAsia="pt-BR"/>
              </w:rPr>
            </w:pPr>
            <w:r w:rsidRPr="00BF7A66">
              <w:rPr>
                <w:sz w:val="20"/>
                <w:lang w:eastAsia="pt-BR"/>
              </w:rPr>
              <w:t xml:space="preserve">Soro glicosado 0,5%, frasco - bolsa com fácil adaptação ao equipo para infusão parenteral sistema fechado, c/ 250 </w:t>
            </w:r>
            <w:proofErr w:type="gramStart"/>
            <w:r w:rsidRPr="00BF7A66">
              <w:rPr>
                <w:sz w:val="20"/>
                <w:lang w:eastAsia="pt-BR"/>
              </w:rPr>
              <w:t>ml</w:t>
            </w:r>
            <w:proofErr w:type="gramEnd"/>
            <w:r w:rsidRPr="00BF7A66">
              <w:rPr>
                <w:sz w:val="20"/>
                <w:lang w:eastAsia="pt-BR"/>
              </w:rPr>
              <w:t xml:space="preserv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fco</w:t>
            </w:r>
            <w:proofErr w:type="spellEnd"/>
            <w:proofErr w:type="gramEnd"/>
          </w:p>
        </w:tc>
        <w:tc>
          <w:tcPr>
            <w:tcW w:w="1417" w:type="dxa"/>
            <w:vAlign w:val="center"/>
          </w:tcPr>
          <w:p w:rsidR="00595EDB" w:rsidRPr="00BF7A66" w:rsidRDefault="00C3627E" w:rsidP="0098421D">
            <w:pPr>
              <w:snapToGrid w:val="0"/>
              <w:rPr>
                <w:sz w:val="20"/>
                <w:lang w:val="pt-PT"/>
              </w:rPr>
            </w:pPr>
            <w:r>
              <w:rPr>
                <w:sz w:val="20"/>
                <w:lang w:val="pt-PT"/>
              </w:rPr>
              <w:t>HELEXISTAR</w:t>
            </w:r>
          </w:p>
        </w:tc>
        <w:tc>
          <w:tcPr>
            <w:tcW w:w="993" w:type="dxa"/>
            <w:vAlign w:val="center"/>
          </w:tcPr>
          <w:p w:rsidR="00595EDB" w:rsidRPr="00BF7A66" w:rsidRDefault="00C3627E" w:rsidP="0098421D">
            <w:pPr>
              <w:snapToGrid w:val="0"/>
              <w:jc w:val="right"/>
              <w:rPr>
                <w:sz w:val="20"/>
                <w:lang w:val="pt-PT"/>
              </w:rPr>
            </w:pPr>
            <w:r>
              <w:rPr>
                <w:sz w:val="20"/>
                <w:lang w:val="pt-PT"/>
              </w:rPr>
              <w:t>2,65</w:t>
            </w:r>
          </w:p>
        </w:tc>
        <w:tc>
          <w:tcPr>
            <w:tcW w:w="1275" w:type="dxa"/>
            <w:vAlign w:val="center"/>
          </w:tcPr>
          <w:p w:rsidR="00595EDB" w:rsidRPr="00BF7A66" w:rsidRDefault="00C3627E" w:rsidP="0098421D">
            <w:pPr>
              <w:snapToGrid w:val="0"/>
              <w:jc w:val="right"/>
              <w:rPr>
                <w:sz w:val="20"/>
                <w:lang w:val="pt-PT"/>
              </w:rPr>
            </w:pPr>
            <w:r>
              <w:rPr>
                <w:sz w:val="20"/>
                <w:lang w:val="pt-PT"/>
              </w:rPr>
              <w:t>2.120,00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366AC1" w:rsidP="0098421D">
            <w:pPr>
              <w:rPr>
                <w:sz w:val="20"/>
                <w:lang w:eastAsia="pt-BR"/>
              </w:rPr>
            </w:pPr>
            <w:r>
              <w:rPr>
                <w:sz w:val="20"/>
                <w:lang w:eastAsia="pt-BR"/>
              </w:rPr>
              <w:t>17.793,50</w:t>
            </w:r>
          </w:p>
        </w:tc>
      </w:tr>
    </w:tbl>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16374E"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 xml:space="preserve">Nos termos do art. 21 do Decreto Municipal nº 4.388/2013, durante a vigência, a Ata de Registro de Preços poderá ser utilizada por qualquer órgão da Administração Municipal que não tenha participado </w:t>
      </w:r>
      <w:r w:rsidRPr="00BF7A66">
        <w:rPr>
          <w:rFonts w:cs="Arial"/>
        </w:rPr>
        <w:lastRenderedPageBreak/>
        <w:t>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lastRenderedPageBreak/>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16374E"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16374E" w:rsidRDefault="00595EDB" w:rsidP="0016374E">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16374E"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Não aceitar reduzir o seu preço registrado, na hipótese deste se tornar superior àqueles praticados </w:t>
      </w:r>
      <w:r w:rsidRPr="00BF7A66">
        <w:rPr>
          <w:rFonts w:cs="Arial"/>
        </w:rPr>
        <w:lastRenderedPageBreak/>
        <w:t>no mercado.</w:t>
      </w:r>
    </w:p>
    <w:p w:rsidR="00595EDB" w:rsidRPr="0016374E"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16374E"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16374E"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16374E"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16374E"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16374E"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w:t>
      </w:r>
      <w:proofErr w:type="gramStart"/>
      <w:r>
        <w:rPr>
          <w:sz w:val="20"/>
        </w:rPr>
        <w:t xml:space="preserve">  </w:t>
      </w:r>
      <w:proofErr w:type="gramEnd"/>
      <w:r>
        <w:rPr>
          <w:sz w:val="20"/>
        </w:rPr>
        <w:t>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16374E" w:rsidP="00595EDB">
      <w:pPr>
        <w:tabs>
          <w:tab w:val="left" w:pos="1134"/>
        </w:tabs>
        <w:jc w:val="center"/>
        <w:rPr>
          <w:sz w:val="20"/>
        </w:rPr>
      </w:pPr>
      <w:r>
        <w:rPr>
          <w:sz w:val="20"/>
        </w:rPr>
        <w:t>DAMEDI DAMBROS COMERCIO DE MEDIC. LTDA</w:t>
      </w:r>
    </w:p>
    <w:p w:rsidR="0016374E" w:rsidRPr="00BF7A66" w:rsidRDefault="0016374E" w:rsidP="00595EDB">
      <w:pPr>
        <w:tabs>
          <w:tab w:val="left" w:pos="1134"/>
        </w:tabs>
        <w:jc w:val="center"/>
        <w:rPr>
          <w:sz w:val="20"/>
        </w:rPr>
      </w:pPr>
      <w:r>
        <w:rPr>
          <w:sz w:val="20"/>
        </w:rPr>
        <w:t xml:space="preserve">MARIA R. RONSSEN </w:t>
      </w:r>
      <w:proofErr w:type="gramStart"/>
      <w:r>
        <w:rPr>
          <w:sz w:val="20"/>
        </w:rPr>
        <w:t>DAMBROS</w:t>
      </w:r>
      <w:proofErr w:type="gramEnd"/>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30" w:rsidRDefault="006D3A30" w:rsidP="0067237C">
      <w:r>
        <w:separator/>
      </w:r>
    </w:p>
  </w:endnote>
  <w:endnote w:type="continuationSeparator" w:id="0">
    <w:p w:rsidR="006D3A30" w:rsidRDefault="006D3A30" w:rsidP="0067237C">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30" w:rsidRDefault="006D3A30">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6D3A30" w:rsidRDefault="006D3A30">
                <w:pPr>
                  <w:pStyle w:val="Rodap"/>
                </w:pPr>
                <w:r>
                  <w:rPr>
                    <w:rStyle w:val="Nmerodepgina"/>
                  </w:rPr>
                  <w:fldChar w:fldCharType="begin"/>
                </w:r>
                <w:r>
                  <w:rPr>
                    <w:rStyle w:val="Nmerodepgina"/>
                  </w:rPr>
                  <w:instrText xml:space="preserve"> PAGE </w:instrText>
                </w:r>
                <w:r>
                  <w:rPr>
                    <w:rStyle w:val="Nmerodepgina"/>
                  </w:rPr>
                  <w:fldChar w:fldCharType="separate"/>
                </w:r>
                <w:r w:rsidR="0016374E">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30" w:rsidRDefault="006D3A30" w:rsidP="0067237C">
      <w:r>
        <w:separator/>
      </w:r>
    </w:p>
  </w:footnote>
  <w:footnote w:type="continuationSeparator" w:id="0">
    <w:p w:rsidR="006D3A30" w:rsidRDefault="006D3A30" w:rsidP="00672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30" w:rsidRDefault="006D3A30" w:rsidP="0098421D">
    <w:pPr>
      <w:ind w:left="1134"/>
      <w:rPr>
        <w:sz w:val="20"/>
      </w:rPr>
    </w:pPr>
    <w:r w:rsidRPr="006723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Pr="00D60F40">
      <w:rPr>
        <w:sz w:val="20"/>
      </w:rPr>
      <w:t>MUNICÍPIO DE JOAÇABA</w:t>
    </w:r>
  </w:p>
  <w:p w:rsidR="006D3A30" w:rsidRPr="00D60F40" w:rsidRDefault="006D3A30" w:rsidP="0098421D">
    <w:pPr>
      <w:ind w:left="1134"/>
      <w:rPr>
        <w:sz w:val="20"/>
      </w:rPr>
    </w:pPr>
    <w:r>
      <w:rPr>
        <w:sz w:val="20"/>
      </w:rPr>
      <w:t>SECRETARIA MUNICIPAL DE SAÚDE</w:t>
    </w:r>
  </w:p>
  <w:p w:rsidR="006D3A30" w:rsidRDefault="006D3A30"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6D3A30" w:rsidRPr="0067696A" w:rsidRDefault="006D3A30" w:rsidP="0098421D">
    <w:pPr>
      <w:ind w:left="851"/>
      <w:rPr>
        <w:b/>
        <w:sz w:val="20"/>
      </w:rPr>
    </w:pPr>
  </w:p>
  <w:p w:rsidR="006D3A30" w:rsidRDefault="006D3A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A275E"/>
    <w:rsid w:val="000C09B6"/>
    <w:rsid w:val="000C4055"/>
    <w:rsid w:val="000C415F"/>
    <w:rsid w:val="000D73B2"/>
    <w:rsid w:val="001173EE"/>
    <w:rsid w:val="00135678"/>
    <w:rsid w:val="0016374E"/>
    <w:rsid w:val="00185399"/>
    <w:rsid w:val="001D1757"/>
    <w:rsid w:val="001D4257"/>
    <w:rsid w:val="00215F35"/>
    <w:rsid w:val="00224EA4"/>
    <w:rsid w:val="00246311"/>
    <w:rsid w:val="002C34BB"/>
    <w:rsid w:val="00307F70"/>
    <w:rsid w:val="0031085E"/>
    <w:rsid w:val="00331973"/>
    <w:rsid w:val="003451DF"/>
    <w:rsid w:val="00361AF6"/>
    <w:rsid w:val="00366AC1"/>
    <w:rsid w:val="00370170"/>
    <w:rsid w:val="00375552"/>
    <w:rsid w:val="003A58AC"/>
    <w:rsid w:val="003C2BB6"/>
    <w:rsid w:val="003D6D59"/>
    <w:rsid w:val="00451822"/>
    <w:rsid w:val="00481181"/>
    <w:rsid w:val="004C7FED"/>
    <w:rsid w:val="00595EDB"/>
    <w:rsid w:val="00643006"/>
    <w:rsid w:val="00660F6C"/>
    <w:rsid w:val="0067237C"/>
    <w:rsid w:val="006D3A30"/>
    <w:rsid w:val="006F3A2E"/>
    <w:rsid w:val="0071278B"/>
    <w:rsid w:val="00715B85"/>
    <w:rsid w:val="00754845"/>
    <w:rsid w:val="007713A1"/>
    <w:rsid w:val="0077658F"/>
    <w:rsid w:val="0079340E"/>
    <w:rsid w:val="0079641C"/>
    <w:rsid w:val="00810FBE"/>
    <w:rsid w:val="0081133F"/>
    <w:rsid w:val="008A1EE8"/>
    <w:rsid w:val="008A47FE"/>
    <w:rsid w:val="008E5053"/>
    <w:rsid w:val="0092043A"/>
    <w:rsid w:val="009520C2"/>
    <w:rsid w:val="009623C6"/>
    <w:rsid w:val="00963FF5"/>
    <w:rsid w:val="0098421D"/>
    <w:rsid w:val="009A0FFA"/>
    <w:rsid w:val="009A18EF"/>
    <w:rsid w:val="009B5729"/>
    <w:rsid w:val="009C64CF"/>
    <w:rsid w:val="009D7FC8"/>
    <w:rsid w:val="009F2051"/>
    <w:rsid w:val="00A37263"/>
    <w:rsid w:val="00A73FF0"/>
    <w:rsid w:val="00A80502"/>
    <w:rsid w:val="00A81EA5"/>
    <w:rsid w:val="00AA7253"/>
    <w:rsid w:val="00AB61EE"/>
    <w:rsid w:val="00B357EE"/>
    <w:rsid w:val="00B426F0"/>
    <w:rsid w:val="00B61320"/>
    <w:rsid w:val="00BE7F53"/>
    <w:rsid w:val="00C3627E"/>
    <w:rsid w:val="00C44A15"/>
    <w:rsid w:val="00C77F3C"/>
    <w:rsid w:val="00D1425D"/>
    <w:rsid w:val="00D23BA3"/>
    <w:rsid w:val="00D73BC3"/>
    <w:rsid w:val="00DF27B5"/>
    <w:rsid w:val="00DF3894"/>
    <w:rsid w:val="00E4527C"/>
    <w:rsid w:val="00E65F18"/>
    <w:rsid w:val="00E92895"/>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2377</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2016-09-16T18:52:00Z</dcterms:created>
  <dcterms:modified xsi:type="dcterms:W3CDTF">2016-09-16T19:09:00Z</dcterms:modified>
</cp:coreProperties>
</file>