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ind w:left="5670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TERMO DE PERMISSÃO DE USO PARA EXPLORAÇÃO DE COMÉRCIO AMBULANTE CONTÍNUO PARA VENDA DE ALIMENTOS, EM ESPAÇOS PÚBLICOS DO MUNICÍPIO DE JOAÇABA.</w:t>
      </w:r>
    </w:p>
    <w:p w:rsidR="00851BE0" w:rsidRDefault="00851BE0" w:rsidP="00851BE0">
      <w:pPr>
        <w:ind w:left="4678"/>
        <w:jc w:val="both"/>
        <w:rPr>
          <w:rFonts w:ascii="Arial" w:hAnsi="Arial" w:cs="Arial"/>
          <w:sz w:val="20"/>
        </w:rPr>
      </w:pPr>
    </w:p>
    <w:p w:rsidR="00851BE0" w:rsidRPr="00851BE0" w:rsidRDefault="00851BE0" w:rsidP="00851BE0">
      <w:pPr>
        <w:ind w:left="4678"/>
        <w:jc w:val="both"/>
        <w:rPr>
          <w:rFonts w:ascii="Arial" w:hAnsi="Arial" w:cs="Arial"/>
          <w:b/>
          <w:bCs/>
          <w:sz w:val="20"/>
        </w:rPr>
      </w:pPr>
    </w:p>
    <w:p w:rsidR="00851BE0" w:rsidRPr="00851BE0" w:rsidRDefault="00851BE0" w:rsidP="00851BE0">
      <w:pPr>
        <w:jc w:val="center"/>
        <w:rPr>
          <w:rFonts w:ascii="Arial" w:hAnsi="Arial" w:cs="Arial"/>
          <w:b/>
          <w:bCs/>
          <w:sz w:val="20"/>
        </w:rPr>
      </w:pPr>
      <w:r w:rsidRPr="00851BE0">
        <w:rPr>
          <w:rFonts w:ascii="Arial" w:hAnsi="Arial" w:cs="Arial"/>
          <w:b/>
          <w:bCs/>
          <w:sz w:val="20"/>
        </w:rPr>
        <w:t>CONTRATO Nº 31</w:t>
      </w:r>
      <w:r w:rsidR="001070B2">
        <w:rPr>
          <w:rFonts w:ascii="Arial" w:hAnsi="Arial" w:cs="Arial"/>
          <w:b/>
          <w:bCs/>
          <w:sz w:val="20"/>
        </w:rPr>
        <w:t>6</w:t>
      </w:r>
      <w:r w:rsidRPr="00851BE0">
        <w:rPr>
          <w:rFonts w:ascii="Arial" w:hAnsi="Arial" w:cs="Arial"/>
          <w:b/>
          <w:bCs/>
          <w:sz w:val="20"/>
        </w:rPr>
        <w:t>/2016/PMJ</w:t>
      </w:r>
    </w:p>
    <w:p w:rsidR="00851BE0" w:rsidRPr="00851BE0" w:rsidRDefault="00851BE0" w:rsidP="00851BE0">
      <w:pPr>
        <w:ind w:left="4678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pStyle w:val="Ttulo3"/>
        <w:spacing w:before="0" w:after="0"/>
        <w:rPr>
          <w:sz w:val="20"/>
          <w:szCs w:val="20"/>
        </w:rPr>
      </w:pPr>
      <w:r w:rsidRPr="00AB27C0">
        <w:rPr>
          <w:sz w:val="20"/>
          <w:szCs w:val="20"/>
        </w:rPr>
        <w:t>PREÂMBULO – DAS PARTES</w:t>
      </w:r>
    </w:p>
    <w:p w:rsidR="00851BE0" w:rsidRPr="00AB27C0" w:rsidRDefault="00851BE0" w:rsidP="00851BE0">
      <w:pPr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PERMITENTE: </w:t>
      </w:r>
      <w:r w:rsidRPr="00AB27C0">
        <w:rPr>
          <w:rFonts w:ascii="Arial" w:hAnsi="Arial" w:cs="Arial"/>
          <w:sz w:val="20"/>
        </w:rPr>
        <w:t>O MUNICÍPIO DE JOAÇABA (SC),</w:t>
      </w:r>
      <w:r w:rsidRPr="00AB27C0">
        <w:rPr>
          <w:rFonts w:ascii="Arial" w:hAnsi="Arial" w:cs="Arial"/>
          <w:b/>
          <w:sz w:val="20"/>
        </w:rPr>
        <w:t xml:space="preserve"> </w:t>
      </w:r>
      <w:r w:rsidRPr="00AB27C0">
        <w:rPr>
          <w:rFonts w:ascii="Arial" w:hAnsi="Arial" w:cs="Arial"/>
          <w:sz w:val="20"/>
        </w:rPr>
        <w:t xml:space="preserve">pessoa jurídica de direito público interno, inscrito no CNPJ sob o nº 82.939.380/0001-99, com sede administrativa na Avenida XV de Novembro, 378, por intermédio da </w:t>
      </w:r>
      <w:r w:rsidRPr="00AB27C0">
        <w:rPr>
          <w:rFonts w:ascii="Arial" w:hAnsi="Arial" w:cs="Arial"/>
          <w:b/>
          <w:sz w:val="20"/>
        </w:rPr>
        <w:t>SECRETARIA MUNICIPAL DE INFRAESTRUTURA</w:t>
      </w:r>
      <w:r w:rsidRPr="00AB27C0">
        <w:rPr>
          <w:rFonts w:ascii="Arial" w:hAnsi="Arial" w:cs="Arial"/>
          <w:sz w:val="20"/>
        </w:rPr>
        <w:t>, representada neste ato por seu Secretário, Sr. VENILTON ROGÉRIO TELES.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PERMISSIONÁRIA: </w:t>
      </w:r>
      <w:r w:rsidR="00C676AA">
        <w:rPr>
          <w:rFonts w:ascii="Arial" w:hAnsi="Arial" w:cs="Arial"/>
          <w:b/>
          <w:sz w:val="20"/>
        </w:rPr>
        <w:t>CLAUDETE APARECIDA DA SILVA</w:t>
      </w:r>
      <w:r w:rsidRPr="00AB27C0">
        <w:rPr>
          <w:rFonts w:ascii="Arial" w:hAnsi="Arial" w:cs="Arial"/>
          <w:sz w:val="20"/>
        </w:rPr>
        <w:t xml:space="preserve">, pessoa física, inscrita no CPF/MF sob o nº </w:t>
      </w:r>
      <w:r w:rsidR="00C676AA">
        <w:rPr>
          <w:rFonts w:ascii="Arial" w:hAnsi="Arial" w:cs="Arial"/>
          <w:sz w:val="20"/>
        </w:rPr>
        <w:t>037.557.659-26</w:t>
      </w:r>
      <w:r>
        <w:rPr>
          <w:rFonts w:ascii="Arial" w:hAnsi="Arial" w:cs="Arial"/>
          <w:sz w:val="20"/>
        </w:rPr>
        <w:t>,</w:t>
      </w:r>
      <w:r w:rsidRPr="00AB27C0">
        <w:rPr>
          <w:rFonts w:ascii="Arial" w:hAnsi="Arial" w:cs="Arial"/>
          <w:sz w:val="20"/>
        </w:rPr>
        <w:t xml:space="preserve"> portadora da Cédula de Identidade nº </w:t>
      </w:r>
      <w:r w:rsidR="00C676AA">
        <w:rPr>
          <w:rFonts w:ascii="Arial" w:hAnsi="Arial" w:cs="Arial"/>
          <w:sz w:val="20"/>
        </w:rPr>
        <w:t>4.797.367 SSP SC</w:t>
      </w:r>
      <w:proofErr w:type="gramStart"/>
      <w:r w:rsidRPr="00AB27C0">
        <w:rPr>
          <w:rFonts w:ascii="Arial" w:hAnsi="Arial" w:cs="Arial"/>
          <w:sz w:val="20"/>
        </w:rPr>
        <w:t xml:space="preserve">  </w:t>
      </w:r>
      <w:proofErr w:type="gramEnd"/>
      <w:r w:rsidRPr="00AB27C0">
        <w:rPr>
          <w:rFonts w:ascii="Arial" w:hAnsi="Arial" w:cs="Arial"/>
          <w:sz w:val="20"/>
        </w:rPr>
        <w:t xml:space="preserve">com endereço na </w:t>
      </w:r>
      <w:r w:rsidR="0014545A">
        <w:rPr>
          <w:rFonts w:ascii="Arial" w:hAnsi="Arial" w:cs="Arial"/>
          <w:sz w:val="20"/>
        </w:rPr>
        <w:t xml:space="preserve">Rua: Jesus </w:t>
      </w:r>
      <w:proofErr w:type="spellStart"/>
      <w:r w:rsidR="0014545A">
        <w:rPr>
          <w:rFonts w:ascii="Arial" w:hAnsi="Arial" w:cs="Arial"/>
          <w:sz w:val="20"/>
        </w:rPr>
        <w:t>Quiben</w:t>
      </w:r>
      <w:proofErr w:type="spellEnd"/>
      <w:r w:rsidR="0014545A">
        <w:rPr>
          <w:rFonts w:ascii="Arial" w:hAnsi="Arial" w:cs="Arial"/>
          <w:sz w:val="20"/>
        </w:rPr>
        <w:t xml:space="preserve"> </w:t>
      </w:r>
      <w:proofErr w:type="spellStart"/>
      <w:r w:rsidR="0014545A">
        <w:rPr>
          <w:rFonts w:ascii="Arial" w:hAnsi="Arial" w:cs="Arial"/>
          <w:sz w:val="20"/>
        </w:rPr>
        <w:t>Simal</w:t>
      </w:r>
      <w:proofErr w:type="spellEnd"/>
      <w:r w:rsidR="0014545A">
        <w:rPr>
          <w:rFonts w:ascii="Arial" w:hAnsi="Arial" w:cs="Arial"/>
          <w:sz w:val="20"/>
        </w:rPr>
        <w:t>, 135</w:t>
      </w:r>
      <w:r w:rsidRPr="00AB27C0">
        <w:rPr>
          <w:rFonts w:ascii="Arial" w:hAnsi="Arial" w:cs="Arial"/>
          <w:sz w:val="20"/>
        </w:rPr>
        <w:t xml:space="preserve">, Bairro </w:t>
      </w:r>
      <w:r w:rsidR="0014545A">
        <w:rPr>
          <w:rFonts w:ascii="Arial" w:hAnsi="Arial" w:cs="Arial"/>
          <w:sz w:val="20"/>
        </w:rPr>
        <w:t xml:space="preserve">Vila </w:t>
      </w:r>
      <w:proofErr w:type="spellStart"/>
      <w:r w:rsidR="0014545A">
        <w:rPr>
          <w:rFonts w:ascii="Arial" w:hAnsi="Arial" w:cs="Arial"/>
          <w:sz w:val="20"/>
        </w:rPr>
        <w:t>Pedrini</w:t>
      </w:r>
      <w:proofErr w:type="spellEnd"/>
      <w:r w:rsidRPr="00AB27C0">
        <w:rPr>
          <w:rFonts w:ascii="Arial" w:hAnsi="Arial" w:cs="Arial"/>
          <w:sz w:val="20"/>
        </w:rPr>
        <w:t xml:space="preserve">, na cidade de </w:t>
      </w:r>
      <w:r w:rsidR="0014545A">
        <w:rPr>
          <w:rFonts w:ascii="Arial" w:hAnsi="Arial" w:cs="Arial"/>
          <w:sz w:val="20"/>
        </w:rPr>
        <w:t>Joaçaba, SC</w:t>
      </w:r>
      <w:r w:rsidRPr="00AB27C0">
        <w:rPr>
          <w:rFonts w:ascii="Arial" w:hAnsi="Arial" w:cs="Arial"/>
          <w:sz w:val="20"/>
        </w:rPr>
        <w:t xml:space="preserve">. 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LOCAL E DATA: </w:t>
      </w:r>
      <w:r w:rsidRPr="00AB27C0">
        <w:rPr>
          <w:rFonts w:ascii="Arial" w:hAnsi="Arial" w:cs="Arial"/>
          <w:sz w:val="20"/>
        </w:rPr>
        <w:t xml:space="preserve">Lavrado e assinado aos </w:t>
      </w:r>
      <w:r>
        <w:rPr>
          <w:rFonts w:ascii="Arial" w:hAnsi="Arial" w:cs="Arial"/>
          <w:sz w:val="20"/>
        </w:rPr>
        <w:t xml:space="preserve">oito </w:t>
      </w:r>
      <w:r w:rsidRPr="00AB27C0">
        <w:rPr>
          <w:rFonts w:ascii="Arial" w:hAnsi="Arial" w:cs="Arial"/>
          <w:sz w:val="20"/>
        </w:rPr>
        <w:t xml:space="preserve">dias do mês de </w:t>
      </w:r>
      <w:r>
        <w:rPr>
          <w:rFonts w:ascii="Arial" w:hAnsi="Arial" w:cs="Arial"/>
          <w:sz w:val="20"/>
        </w:rPr>
        <w:t>junho</w:t>
      </w:r>
      <w:r w:rsidRPr="00AB27C0">
        <w:rPr>
          <w:rFonts w:ascii="Arial" w:hAnsi="Arial" w:cs="Arial"/>
          <w:sz w:val="20"/>
        </w:rPr>
        <w:t xml:space="preserve"> de 2016, nesta cidade e comarca de Joaçaba - SC.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b/>
          <w:sz w:val="20"/>
        </w:rPr>
        <w:t xml:space="preserve">FUNDAMENTO LEGAL: </w:t>
      </w:r>
      <w:r w:rsidRPr="00AB27C0">
        <w:rPr>
          <w:rFonts w:ascii="Arial" w:hAnsi="Arial" w:cs="Arial"/>
          <w:sz w:val="20"/>
        </w:rPr>
        <w:t xml:space="preserve">A presente PERMISSÃO DE USO está acastelada no Processo de Licitação nº 30/2016/PMJ – Edital de Concorrência nº 2/2016/PMJ, homologado em </w:t>
      </w:r>
      <w:r>
        <w:rPr>
          <w:rFonts w:ascii="Arial" w:hAnsi="Arial" w:cs="Arial"/>
          <w:sz w:val="20"/>
        </w:rPr>
        <w:t>06/06/2016</w:t>
      </w:r>
      <w:r w:rsidRPr="00AB27C0">
        <w:rPr>
          <w:rFonts w:ascii="Arial" w:hAnsi="Arial" w:cs="Arial"/>
          <w:sz w:val="20"/>
        </w:rPr>
        <w:t>, de acordo com a Lei 8.666/93 e alterações, Decreto nº 3.103/2007 e as cláusulas e condições seguintes: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PRIMEIRA - DO OBJETO E DA FORMA DE EXECUÇÃO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A PERMISSIONÁRIA acima qualificada obteve por parte do Município de Joaçaba (SC), a Permissão de Uso do Ponto correspondente ao item </w:t>
      </w:r>
      <w:proofErr w:type="gramStart"/>
      <w:r w:rsidR="00C676AA">
        <w:rPr>
          <w:rFonts w:ascii="Arial" w:hAnsi="Arial" w:cs="Arial"/>
          <w:sz w:val="20"/>
        </w:rPr>
        <w:t>2</w:t>
      </w:r>
      <w:proofErr w:type="gramEnd"/>
      <w:r w:rsidRPr="00AB27C0">
        <w:rPr>
          <w:rFonts w:ascii="Arial" w:hAnsi="Arial" w:cs="Arial"/>
          <w:sz w:val="20"/>
        </w:rPr>
        <w:t xml:space="preserve"> do Anexo I do Edital de Concorrência nº 2/2016/PMJ, localizado na </w:t>
      </w:r>
      <w:r w:rsidR="00C676AA" w:rsidRPr="00C676AA">
        <w:rPr>
          <w:rFonts w:ascii="Arial" w:hAnsi="Arial" w:cs="Arial"/>
          <w:b/>
          <w:sz w:val="20"/>
        </w:rPr>
        <w:t>Avenida Barão do Rio Branco – em frente ao nº 149</w:t>
      </w:r>
      <w:r w:rsidRPr="00AB27C0">
        <w:rPr>
          <w:rFonts w:ascii="Arial" w:hAnsi="Arial" w:cs="Arial"/>
          <w:sz w:val="20"/>
        </w:rPr>
        <w:t>, visando a exploração de comércio ambulante contínuo de alimentos, de acordo com o estabelecido no referido Edital e seus Anexos e no Decreto nº 3.103/2007.</w:t>
      </w:r>
    </w:p>
    <w:p w:rsidR="00851BE0" w:rsidRPr="00AB27C0" w:rsidRDefault="00851BE0" w:rsidP="00851BE0">
      <w:pPr>
        <w:ind w:left="426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Os direitos da PERMISSIONÁRIA oriundos do Processo de Licitação são intransferíveis, sendo vedada a transferência da Permissão de Uso, cabendo ao ato praticado as sanções previstas em Lei.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PERMITENTE se reserva o direito de inspeção e fiscalização do uso, manutenção e exploração do objeto do Termo de Permissão, sempre em concordância ao prescrito na legislação aplicável, bem como os termos do Edital.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Caberá à PERMISSIONÁRIA o pagamento de salários do pessoal empregado, necessário à execução dos serviços objeto da Permissão de Uso, bem assim, a responsabilidade para com os encargos sociais e previdenciários vigentes ou que venham a ser instituídos. </w:t>
      </w:r>
    </w:p>
    <w:p w:rsidR="00851BE0" w:rsidRPr="00AB27C0" w:rsidRDefault="00851BE0" w:rsidP="00851BE0">
      <w:pPr>
        <w:pStyle w:val="PargrafodaLista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PERMITENTE não responderá perante aos fornecedores e terceiros, inclusive a órgãos arrecadadores dos encargos sociais e previdenciários, multas ou quaisquer outras obrigações decorrentes do presente instrumento.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</w:rPr>
      </w:pPr>
    </w:p>
    <w:p w:rsidR="00851BE0" w:rsidRPr="00AB27C0" w:rsidRDefault="00851BE0" w:rsidP="00851BE0">
      <w:pPr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lastRenderedPageBreak/>
        <w:t>Os tributos incidentes sobre a área de que trata a Permissão de Uso, são de responsabilidade única e exclusiva do PERMITENTE.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SEGUNDA - DO PRAZO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O prazo de vigência da presente PERMISSÃO DE USO é de 05 (cinco) anos, a contar da data deste instrumento.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 xml:space="preserve">CLÁUSULA TERCEIRA - DO PREÇO, FORMA DE PAGAMENTO E REAJUSTE 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 xml:space="preserve">O valor inicial pactuado é de </w:t>
      </w:r>
      <w:r w:rsidRPr="00881B0F">
        <w:rPr>
          <w:rFonts w:ascii="Arial" w:hAnsi="Arial" w:cs="Arial"/>
          <w:b/>
        </w:rPr>
        <w:t xml:space="preserve">R$ </w:t>
      </w:r>
      <w:r w:rsidR="00C676AA">
        <w:rPr>
          <w:rFonts w:ascii="Arial" w:hAnsi="Arial" w:cs="Arial"/>
          <w:b/>
        </w:rPr>
        <w:t>350,00</w:t>
      </w:r>
      <w:r w:rsidRPr="00AB27C0">
        <w:rPr>
          <w:rFonts w:ascii="Arial" w:hAnsi="Arial" w:cs="Arial"/>
        </w:rPr>
        <w:t xml:space="preserve"> (</w:t>
      </w:r>
      <w:r w:rsidR="00C676AA">
        <w:rPr>
          <w:rFonts w:ascii="Arial" w:hAnsi="Arial" w:cs="Arial"/>
        </w:rPr>
        <w:t>Trezentos e cinquenta</w:t>
      </w:r>
      <w:r w:rsidR="00881B0F">
        <w:rPr>
          <w:rFonts w:ascii="Arial" w:hAnsi="Arial" w:cs="Arial"/>
        </w:rPr>
        <w:t xml:space="preserve"> reais</w:t>
      </w:r>
      <w:r w:rsidRPr="00AB27C0">
        <w:rPr>
          <w:rFonts w:ascii="Arial" w:hAnsi="Arial" w:cs="Arial"/>
        </w:rPr>
        <w:t>) mensais, para o uso, manutenção e exploração do Ponto descrito no objeto deste instrumento.</w:t>
      </w:r>
    </w:p>
    <w:p w:rsidR="00851BE0" w:rsidRPr="00AB27C0" w:rsidRDefault="00851BE0" w:rsidP="00851BE0">
      <w:pPr>
        <w:pStyle w:val="Corpodetexto2"/>
        <w:ind w:left="426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 xml:space="preserve">O pagamento deverá ser realizado mensalmente, até o 10º (décimo) dia do mês subseqüente ao vencido, de acordo com a apresentação do Documento de Arrecadação Municipal (DAM) competente, expedido pela Secretaria Municipal de Gestão Financeira. </w:t>
      </w:r>
    </w:p>
    <w:p w:rsidR="00851BE0" w:rsidRPr="00AB27C0" w:rsidRDefault="00851BE0" w:rsidP="00851BE0">
      <w:pPr>
        <w:pStyle w:val="PargrafodaLista"/>
        <w:spacing w:after="0" w:line="240" w:lineRule="auto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numPr>
          <w:ilvl w:val="1"/>
          <w:numId w:val="5"/>
        </w:numPr>
        <w:ind w:left="426" w:hanging="426"/>
        <w:rPr>
          <w:rFonts w:ascii="Arial" w:hAnsi="Arial" w:cs="Arial"/>
        </w:rPr>
      </w:pPr>
      <w:r w:rsidRPr="00AB27C0">
        <w:rPr>
          <w:rFonts w:ascii="Arial" w:hAnsi="Arial" w:cs="Arial"/>
        </w:rPr>
        <w:t>No caso de atraso do pagamento das parcelas, as mesmas serão acrescidas de correção monetária, multa e juros, de acordo com o art. 226 da Lei Complementar nº 31/97 e suas alterações.</w:t>
      </w:r>
    </w:p>
    <w:p w:rsidR="00851BE0" w:rsidRPr="00AB27C0" w:rsidRDefault="00851BE0" w:rsidP="00851BE0">
      <w:pPr>
        <w:numPr>
          <w:ilvl w:val="2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Em havendo atraso de 03 (três) ou mais parcelas, seguidas ou intercaladas, o Termo de Permissão de Uso será automaticamente rescindido, independentemente de notificação judicial ou extrajudicial.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Fica fixada a forma de reajuste automático, anual, adotando-se o INPC/IBGE acumulado (índice oficial editado pelo Governo Federal), a contar da data limite para apresentação da proposta.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QUARTA – DAS RESPONSABILIDADES DAS PARTES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AB27C0">
        <w:rPr>
          <w:rFonts w:ascii="Arial" w:hAnsi="Arial" w:cs="Arial"/>
          <w:snapToGrid w:val="0"/>
          <w:sz w:val="20"/>
        </w:rPr>
        <w:t>DO PERMITENTE: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Tomar todas as providências necessárias à execução do presente Termo de Permissão de Uso.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Fiscalizar da execução do Termo de Permissão.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>Providenciar a publicação do presente Termo, até o 5º (quinto) dia útil do mês seguinte ao de sua assinatura.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  <w:r w:rsidRPr="00AB27C0">
        <w:rPr>
          <w:rFonts w:ascii="Arial" w:hAnsi="Arial" w:cs="Arial"/>
          <w:snapToGrid w:val="0"/>
          <w:sz w:val="20"/>
        </w:rPr>
        <w:t xml:space="preserve">Proceder, através das Secretarias Municipais competentes, à fiscalização dos serviços e o funcionamento dos pontos para comércio ambulantes de alimentos em geral.  </w:t>
      </w:r>
    </w:p>
    <w:p w:rsidR="00851BE0" w:rsidRPr="00AB27C0" w:rsidRDefault="00851BE0" w:rsidP="00851BE0">
      <w:pPr>
        <w:tabs>
          <w:tab w:val="num" w:pos="720"/>
        </w:tabs>
        <w:jc w:val="both"/>
        <w:rPr>
          <w:rFonts w:ascii="Arial" w:hAnsi="Arial" w:cs="Arial"/>
          <w:bCs/>
          <w:iCs/>
          <w:snapToGrid w:val="0"/>
          <w:sz w:val="20"/>
          <w:u w:val="single"/>
        </w:rPr>
      </w:pPr>
    </w:p>
    <w:p w:rsidR="00851BE0" w:rsidRPr="00AB27C0" w:rsidRDefault="00851BE0" w:rsidP="00851BE0">
      <w:pPr>
        <w:numPr>
          <w:ilvl w:val="1"/>
          <w:numId w:val="2"/>
        </w:numPr>
        <w:ind w:left="426" w:hanging="426"/>
        <w:jc w:val="both"/>
        <w:rPr>
          <w:rFonts w:ascii="Arial" w:hAnsi="Arial" w:cs="Arial"/>
          <w:bCs/>
          <w:snapToGrid w:val="0"/>
          <w:sz w:val="20"/>
        </w:rPr>
      </w:pPr>
      <w:r w:rsidRPr="00AB27C0">
        <w:rPr>
          <w:rFonts w:ascii="Arial" w:hAnsi="Arial" w:cs="Arial"/>
          <w:bCs/>
          <w:iCs/>
          <w:snapToGrid w:val="0"/>
          <w:sz w:val="20"/>
        </w:rPr>
        <w:t>DO PERMISSIONÁRIO:</w:t>
      </w:r>
    </w:p>
    <w:p w:rsidR="00851BE0" w:rsidRPr="00AB27C0" w:rsidRDefault="00851BE0" w:rsidP="00851BE0">
      <w:pPr>
        <w:jc w:val="both"/>
        <w:rPr>
          <w:rFonts w:ascii="Arial" w:hAnsi="Arial" w:cs="Arial"/>
          <w:b/>
          <w:bCs/>
          <w:snapToGrid w:val="0"/>
          <w:sz w:val="20"/>
        </w:rPr>
      </w:pP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Executar o objeto de acordo as disposições do Edital, bem como de seus anexos.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Manter, durante a execução do Termo de Permissão de Uso todas as condições de habilitação previstas no Edital e em compatibilidade com as obrigações assumidas.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Responsabilizar-se por eventuais danos causados à Administração ou a terceiros, decorrentes de sua culpa ou dolo na execução do Termo de Permissão de Uso.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Facilitar todas as atividades de Fiscalização da Comissão.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Providenciar junto à Prefeitura de Joaçaba a inscrição no Cadastro Municipal de Contribuintes, bem como a emissão do Alvará Sanitário e de Licença para Funcionamento.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Cumprir com as disposições previstas no Decreto Municipal nº 3.103/2007.</w:t>
      </w:r>
    </w:p>
    <w:p w:rsidR="00851BE0" w:rsidRPr="00AB27C0" w:rsidRDefault="00851BE0" w:rsidP="00851BE0">
      <w:pPr>
        <w:numPr>
          <w:ilvl w:val="2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Zelar pelas instalações da área cedida, buscando atender as normas básicas de conservação e higiene do local utilizado.</w:t>
      </w:r>
    </w:p>
    <w:p w:rsidR="00851BE0" w:rsidRPr="00AB27C0" w:rsidRDefault="00851BE0" w:rsidP="00851BE0">
      <w:pPr>
        <w:pStyle w:val="Corpodetexto2"/>
        <w:rPr>
          <w:rFonts w:ascii="Arial" w:hAnsi="Arial" w:cs="Arial"/>
        </w:rPr>
      </w:pPr>
    </w:p>
    <w:p w:rsidR="00851BE0" w:rsidRPr="00AB27C0" w:rsidRDefault="00851BE0" w:rsidP="00851BE0">
      <w:pPr>
        <w:pStyle w:val="Corpodetexto2"/>
        <w:rPr>
          <w:rFonts w:ascii="Arial" w:hAnsi="Arial" w:cs="Arial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QUINTA - DA RESCISÃO E EXTINÇÃO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AB27C0">
        <w:rPr>
          <w:rFonts w:ascii="Arial" w:hAnsi="Arial" w:cs="Arial"/>
          <w:snapToGrid w:val="0"/>
          <w:sz w:val="20"/>
        </w:rPr>
        <w:t>O presente Termo de Permissão de Uso poderá ser rescindido nos seguintes casos: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a área comercial destinada ao comércio ambulante não venha a ser utilizada para o fim específico a que se destina.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Quando a PERMISSIONÁRIA deixar de cumprir quaisquer das cláusulas estipuladas no Termo de Permissão de Uso, no presente Edital, bem como no Decreto Municipal nº 3.103/2007. 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se evidenciar que a manutenção das responsabilidades oriundas deste instrumento acarrete em prejuízo à coisa pública.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Quando se sobrepuser o interesse público.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Por iniciativa do PERMITENTE ou da PERMISSIONÁRIA, ou por acordo dos mesmos, a qualquer tempo, com notificação escrita e prazo antecipado de 30 (trinta) dias.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Havendo o atraso no pagamento de 03 (três) ou mais parcelas, seguidas ou intercaladas, independente de notificação judicial ou extrajudicial.</w:t>
      </w:r>
    </w:p>
    <w:p w:rsidR="00851BE0" w:rsidRPr="00AB27C0" w:rsidRDefault="00851BE0" w:rsidP="00851BE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Interrupção das atividades por 30 (trinta) dias, exceto por motivo devidamente justificado e aceito pela Administração.</w:t>
      </w:r>
    </w:p>
    <w:p w:rsidR="00851BE0" w:rsidRPr="00AB27C0" w:rsidRDefault="00851BE0" w:rsidP="00851BE0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A extinção se dará com a paralisação pela PERMISSIONÁRIA, das atividades objeto da Permissão de Uso, por iniciativa do PERMITENTE, independentemente de qualquer medida judicial. </w:t>
      </w: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</w:p>
    <w:p w:rsidR="00851BE0" w:rsidRPr="00AB27C0" w:rsidRDefault="00851BE0" w:rsidP="00851BE0">
      <w:pPr>
        <w:pStyle w:val="Ttulo2"/>
        <w:autoSpaceDE w:val="0"/>
        <w:autoSpaceDN w:val="0"/>
        <w:rPr>
          <w:rFonts w:ascii="Arial" w:hAnsi="Arial" w:cs="Arial"/>
        </w:rPr>
      </w:pPr>
      <w:r w:rsidRPr="00AB27C0">
        <w:rPr>
          <w:rFonts w:ascii="Arial" w:hAnsi="Arial" w:cs="Arial"/>
        </w:rPr>
        <w:t>CLÁUSULA SEXTA - DAS SANÇÕES ADMINISTRATIVAS</w:t>
      </w:r>
    </w:p>
    <w:p w:rsidR="00851BE0" w:rsidRPr="00AB27C0" w:rsidRDefault="00851BE0" w:rsidP="00851BE0">
      <w:pPr>
        <w:jc w:val="both"/>
        <w:rPr>
          <w:rFonts w:ascii="Arial" w:hAnsi="Arial" w:cs="Arial"/>
          <w:snapToGrid w:val="0"/>
          <w:sz w:val="20"/>
        </w:rPr>
      </w:pPr>
    </w:p>
    <w:p w:rsidR="00851BE0" w:rsidRPr="00AB27C0" w:rsidRDefault="00851BE0" w:rsidP="00851BE0">
      <w:pPr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lang w:eastAsia="ar-SA"/>
        </w:rPr>
      </w:pPr>
      <w:r w:rsidRPr="00AB27C0">
        <w:rPr>
          <w:rFonts w:ascii="Arial" w:hAnsi="Arial" w:cs="Arial"/>
          <w:sz w:val="20"/>
          <w:lang w:eastAsia="ar-SA"/>
        </w:rPr>
        <w:t>O PERMITENTE poderá, garantida a prévia defesa, aplicar as sanções previstas no artigo 87 da Lei nº 8.666/93 e alterações.</w:t>
      </w:r>
    </w:p>
    <w:p w:rsidR="00851BE0" w:rsidRPr="00AB27C0" w:rsidRDefault="00851BE0" w:rsidP="00851BE0">
      <w:pPr>
        <w:tabs>
          <w:tab w:val="left" w:pos="0"/>
        </w:tabs>
        <w:jc w:val="both"/>
        <w:rPr>
          <w:rFonts w:ascii="Arial" w:hAnsi="Arial" w:cs="Arial"/>
          <w:sz w:val="20"/>
          <w:lang w:eastAsia="ar-SA"/>
        </w:rPr>
      </w:pPr>
      <w:r w:rsidRPr="00AB27C0">
        <w:rPr>
          <w:rFonts w:ascii="Arial" w:hAnsi="Arial" w:cs="Arial"/>
          <w:sz w:val="20"/>
          <w:lang w:eastAsia="ar-SA"/>
        </w:rPr>
        <w:t xml:space="preserve"> </w:t>
      </w:r>
    </w:p>
    <w:p w:rsidR="00851BE0" w:rsidRPr="00AB27C0" w:rsidRDefault="00851BE0" w:rsidP="00851BE0">
      <w:pPr>
        <w:tabs>
          <w:tab w:val="left" w:pos="0"/>
        </w:tabs>
        <w:jc w:val="both"/>
        <w:rPr>
          <w:rFonts w:ascii="Arial" w:hAnsi="Arial" w:cs="Arial"/>
          <w:sz w:val="20"/>
          <w:lang w:eastAsia="ar-SA"/>
        </w:rPr>
      </w:pPr>
    </w:p>
    <w:p w:rsidR="00851BE0" w:rsidRPr="00AB27C0" w:rsidRDefault="00851BE0" w:rsidP="00851BE0">
      <w:pPr>
        <w:rPr>
          <w:rFonts w:ascii="Arial" w:hAnsi="Arial" w:cs="Arial"/>
          <w:b/>
          <w:sz w:val="20"/>
        </w:rPr>
      </w:pPr>
      <w:r w:rsidRPr="00AB27C0">
        <w:rPr>
          <w:rFonts w:ascii="Arial" w:hAnsi="Arial" w:cs="Arial"/>
          <w:b/>
          <w:sz w:val="20"/>
        </w:rPr>
        <w:t>CLÁUSULA SÉTIMA - DO FORO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 xml:space="preserve">Fica eleito o Foro da Comarca de Joaçaba (SC) para </w:t>
      </w:r>
      <w:proofErr w:type="gramStart"/>
      <w:r w:rsidRPr="00AB27C0">
        <w:rPr>
          <w:rFonts w:ascii="Arial" w:hAnsi="Arial" w:cs="Arial"/>
          <w:sz w:val="20"/>
        </w:rPr>
        <w:t>dirimir dúvidas</w:t>
      </w:r>
      <w:proofErr w:type="gramEnd"/>
      <w:r w:rsidRPr="00AB27C0">
        <w:rPr>
          <w:rFonts w:ascii="Arial" w:hAnsi="Arial" w:cs="Arial"/>
          <w:sz w:val="20"/>
        </w:rPr>
        <w:t xml:space="preserve"> decorrentes do presente instrumento, excluído qualquer outro, por mais privilegiado que seja.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E, por estarem justos e acordados, assinam o presente em 04 (quatro) vias de igual teor e forma, para as mesmas finalidades, na presença das testemunhas a tudo inteiradas.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JOAÇABA (SC)</w:t>
      </w:r>
      <w:r w:rsidR="00881B0F">
        <w:rPr>
          <w:rFonts w:ascii="Arial" w:hAnsi="Arial" w:cs="Arial"/>
          <w:sz w:val="20"/>
        </w:rPr>
        <w:t xml:space="preserve"> 0</w:t>
      </w:r>
      <w:r w:rsidR="00BF7FD9">
        <w:rPr>
          <w:rFonts w:ascii="Arial" w:hAnsi="Arial" w:cs="Arial"/>
          <w:sz w:val="20"/>
        </w:rPr>
        <w:t>7</w:t>
      </w:r>
      <w:r w:rsidR="00881B0F">
        <w:rPr>
          <w:rFonts w:ascii="Arial" w:hAnsi="Arial" w:cs="Arial"/>
          <w:sz w:val="20"/>
        </w:rPr>
        <w:t xml:space="preserve"> de junho</w:t>
      </w:r>
      <w:r w:rsidRPr="00AB27C0">
        <w:rPr>
          <w:rFonts w:ascii="Arial" w:hAnsi="Arial" w:cs="Arial"/>
          <w:sz w:val="20"/>
        </w:rPr>
        <w:t xml:space="preserve"> de 2016.</w:t>
      </w: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</w:p>
    <w:p w:rsidR="00851BE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ab/>
      </w:r>
    </w:p>
    <w:p w:rsidR="00881B0F" w:rsidRPr="00AB27C0" w:rsidRDefault="00881B0F" w:rsidP="00851BE0">
      <w:pPr>
        <w:jc w:val="both"/>
        <w:rPr>
          <w:rFonts w:ascii="Arial" w:hAnsi="Arial" w:cs="Arial"/>
          <w:sz w:val="20"/>
        </w:rPr>
      </w:pPr>
    </w:p>
    <w:p w:rsidR="00881B0F" w:rsidRPr="00AB27C0" w:rsidRDefault="00881B0F" w:rsidP="00881B0F">
      <w:pPr>
        <w:jc w:val="center"/>
        <w:rPr>
          <w:rFonts w:ascii="Arial" w:hAnsi="Arial" w:cs="Arial"/>
          <w:sz w:val="20"/>
        </w:rPr>
      </w:pPr>
      <w:proofErr w:type="spellStart"/>
      <w:r w:rsidRPr="00AB27C0">
        <w:rPr>
          <w:rFonts w:ascii="Arial" w:hAnsi="Arial" w:cs="Arial"/>
          <w:sz w:val="20"/>
        </w:rPr>
        <w:t>Venilton</w:t>
      </w:r>
      <w:proofErr w:type="spellEnd"/>
      <w:r w:rsidRPr="00AB27C0">
        <w:rPr>
          <w:rFonts w:ascii="Arial" w:hAnsi="Arial" w:cs="Arial"/>
          <w:sz w:val="20"/>
        </w:rPr>
        <w:t xml:space="preserve"> Rogério Teles - Secretário</w:t>
      </w:r>
    </w:p>
    <w:p w:rsidR="00881B0F" w:rsidRPr="00AB27C0" w:rsidRDefault="00881B0F" w:rsidP="00881B0F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SECRETARIA MUNICIPAL DE INFRAESTRUTURA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MUNICÍPIO DE JOAÇABA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PERMITENTE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Default="00851BE0" w:rsidP="00851BE0">
      <w:pPr>
        <w:jc w:val="center"/>
        <w:rPr>
          <w:rFonts w:ascii="Arial" w:hAnsi="Arial" w:cs="Arial"/>
          <w:sz w:val="20"/>
        </w:rPr>
      </w:pPr>
    </w:p>
    <w:p w:rsidR="00881B0F" w:rsidRPr="00AB27C0" w:rsidRDefault="00C676AA" w:rsidP="00851BE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CLAUDETE APARECIDA DA SILVA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PERMISSIONÁRIA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851BE0" w:rsidRPr="00AB27C0" w:rsidRDefault="00851BE0" w:rsidP="00851BE0">
      <w:pPr>
        <w:jc w:val="both"/>
        <w:rPr>
          <w:rFonts w:ascii="Arial" w:hAnsi="Arial" w:cs="Arial"/>
          <w:sz w:val="20"/>
        </w:rPr>
      </w:pPr>
      <w:r w:rsidRPr="00AB27C0">
        <w:rPr>
          <w:rFonts w:ascii="Arial" w:hAnsi="Arial" w:cs="Arial"/>
          <w:sz w:val="20"/>
        </w:rPr>
        <w:t>TESTEMUNHAS:</w:t>
      </w:r>
    </w:p>
    <w:p w:rsidR="00851BE0" w:rsidRPr="00AB27C0" w:rsidRDefault="00851BE0" w:rsidP="00851BE0">
      <w:pPr>
        <w:jc w:val="center"/>
        <w:rPr>
          <w:rFonts w:ascii="Arial" w:hAnsi="Arial" w:cs="Arial"/>
          <w:sz w:val="20"/>
        </w:rPr>
      </w:pPr>
    </w:p>
    <w:p w:rsidR="002F7081" w:rsidRDefault="00851BE0" w:rsidP="00881B0F">
      <w:pPr>
        <w:jc w:val="center"/>
      </w:pPr>
      <w:r w:rsidRPr="00AB27C0">
        <w:rPr>
          <w:rFonts w:ascii="Arial" w:hAnsi="Arial" w:cs="Arial"/>
          <w:sz w:val="20"/>
        </w:rPr>
        <w:t xml:space="preserve">1.______________________ </w:t>
      </w:r>
      <w:r w:rsidRPr="00AB27C0">
        <w:rPr>
          <w:rFonts w:ascii="Arial" w:hAnsi="Arial" w:cs="Arial"/>
          <w:sz w:val="20"/>
        </w:rPr>
        <w:tab/>
      </w:r>
      <w:r w:rsidRPr="00AB27C0">
        <w:rPr>
          <w:rFonts w:ascii="Arial" w:hAnsi="Arial" w:cs="Arial"/>
          <w:sz w:val="20"/>
        </w:rPr>
        <w:tab/>
        <w:t>2.______________________</w:t>
      </w:r>
    </w:p>
    <w:sectPr w:rsidR="002F7081" w:rsidSect="002F70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E0" w:rsidRDefault="00851BE0" w:rsidP="00851BE0">
      <w:r>
        <w:separator/>
      </w:r>
    </w:p>
  </w:endnote>
  <w:endnote w:type="continuationSeparator" w:id="1">
    <w:p w:rsidR="00851BE0" w:rsidRDefault="00851BE0" w:rsidP="0085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E0" w:rsidRDefault="00851BE0" w:rsidP="00851BE0">
      <w:r>
        <w:separator/>
      </w:r>
    </w:p>
  </w:footnote>
  <w:footnote w:type="continuationSeparator" w:id="1">
    <w:p w:rsidR="00851BE0" w:rsidRDefault="00851BE0" w:rsidP="0085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E0" w:rsidRPr="0025056F" w:rsidRDefault="00851BE0" w:rsidP="00851BE0">
    <w:pPr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-200025</wp:posOffset>
          </wp:positionV>
          <wp:extent cx="647700" cy="714375"/>
          <wp:effectExtent l="1905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                 </w:t>
    </w:r>
    <w:r w:rsidRPr="0025056F">
      <w:rPr>
        <w:rFonts w:ascii="Arial" w:hAnsi="Arial" w:cs="Arial"/>
        <w:sz w:val="20"/>
      </w:rPr>
      <w:t>ESTADO DE SANTA CATARINA</w:t>
    </w:r>
  </w:p>
  <w:p w:rsidR="00851BE0" w:rsidRDefault="00851BE0" w:rsidP="00851BE0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MUNICÍPIO DE JOAÇABA</w:t>
    </w:r>
  </w:p>
  <w:p w:rsidR="00851BE0" w:rsidRDefault="00851B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B5E"/>
    <w:multiLevelType w:val="multilevel"/>
    <w:tmpl w:val="00C03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72A2911"/>
    <w:multiLevelType w:val="multilevel"/>
    <w:tmpl w:val="F29E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2C22B3"/>
    <w:multiLevelType w:val="multilevel"/>
    <w:tmpl w:val="096CB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850272"/>
    <w:multiLevelType w:val="multilevel"/>
    <w:tmpl w:val="096CB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B00F5F"/>
    <w:multiLevelType w:val="multilevel"/>
    <w:tmpl w:val="CAE66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44374BD"/>
    <w:multiLevelType w:val="multilevel"/>
    <w:tmpl w:val="CAE66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1D763B"/>
    <w:multiLevelType w:val="hybridMultilevel"/>
    <w:tmpl w:val="ED464040"/>
    <w:lvl w:ilvl="0" w:tplc="0000000E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7BBE"/>
    <w:multiLevelType w:val="multilevel"/>
    <w:tmpl w:val="6C3EF5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1BE0"/>
    <w:rsid w:val="00004CFD"/>
    <w:rsid w:val="001070B2"/>
    <w:rsid w:val="0014545A"/>
    <w:rsid w:val="002F7081"/>
    <w:rsid w:val="00341C72"/>
    <w:rsid w:val="00352FC4"/>
    <w:rsid w:val="00422C3C"/>
    <w:rsid w:val="00851BE0"/>
    <w:rsid w:val="00881B0F"/>
    <w:rsid w:val="00980489"/>
    <w:rsid w:val="0098567B"/>
    <w:rsid w:val="009961F6"/>
    <w:rsid w:val="00BF7FD9"/>
    <w:rsid w:val="00C676AA"/>
    <w:rsid w:val="00C75558"/>
    <w:rsid w:val="00E85546"/>
    <w:rsid w:val="00EE5B47"/>
    <w:rsid w:val="00F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0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1BE0"/>
    <w:pPr>
      <w:keepNext/>
      <w:jc w:val="both"/>
      <w:outlineLvl w:val="1"/>
    </w:pPr>
    <w:rPr>
      <w:rFonts w:ascii="Bookman Old Style" w:hAnsi="Bookman Old Style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851BE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1BE0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851BE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851BE0"/>
    <w:pPr>
      <w:jc w:val="both"/>
    </w:pPr>
    <w:rPr>
      <w:rFonts w:ascii="Bookman Old Style" w:hAnsi="Bookman Old Style"/>
      <w:sz w:val="20"/>
    </w:rPr>
  </w:style>
  <w:style w:type="character" w:customStyle="1" w:styleId="Corpodetexto2Char">
    <w:name w:val="Corpo de texto 2 Char"/>
    <w:basedOn w:val="Fontepargpadro"/>
    <w:link w:val="Corpodetexto2"/>
    <w:rsid w:val="00851BE0"/>
    <w:rPr>
      <w:rFonts w:ascii="Bookman Old Style" w:eastAsia="Times New Roman" w:hAnsi="Bookman Old Style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5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51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1BE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1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1BE0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2016-06-07T17:29:00Z</dcterms:created>
  <dcterms:modified xsi:type="dcterms:W3CDTF">2016-06-14T18:30:00Z</dcterms:modified>
</cp:coreProperties>
</file>