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47" w:rsidRPr="006E29BA" w:rsidRDefault="00B27F47" w:rsidP="006E29BA">
      <w:pPr>
        <w:tabs>
          <w:tab w:val="center" w:pos="4261"/>
        </w:tabs>
        <w:ind w:left="993"/>
        <w:rPr>
          <w:b/>
          <w:sz w:val="20"/>
        </w:rPr>
      </w:pPr>
    </w:p>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E35C3A">
        <w:rPr>
          <w:b/>
          <w:sz w:val="20"/>
          <w:lang w:eastAsia="pt-BR"/>
        </w:rPr>
        <w:t>/2016/07</w:t>
      </w:r>
    </w:p>
    <w:p w:rsidR="00B27F47" w:rsidRPr="0039111B" w:rsidRDefault="00B27F47" w:rsidP="00B27F47">
      <w:pPr>
        <w:suppressAutoHyphens w:val="0"/>
        <w:autoSpaceDE w:val="0"/>
        <w:autoSpaceDN w:val="0"/>
        <w:adjustRightInd w:val="0"/>
        <w:jc w:val="both"/>
        <w:rPr>
          <w:bCs w:val="0"/>
          <w:sz w:val="20"/>
          <w:lang w:eastAsia="pt-BR"/>
        </w:rPr>
      </w:pPr>
    </w:p>
    <w:p w:rsidR="00B27F47" w:rsidRDefault="00B27F47" w:rsidP="006E29BA">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6E29BA" w:rsidRPr="0039111B" w:rsidRDefault="006E29BA" w:rsidP="006E29BA">
      <w:pPr>
        <w:jc w:val="both"/>
        <w:rPr>
          <w:sz w:val="20"/>
        </w:rPr>
      </w:pPr>
    </w:p>
    <w:p w:rsidR="00B27F47" w:rsidRDefault="00B91B37" w:rsidP="006E29BA">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social(is),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6E29BA" w:rsidRPr="006E29BA" w:rsidRDefault="006E29BA" w:rsidP="006E29BA">
      <w:pPr>
        <w:tabs>
          <w:tab w:val="left" w:pos="851"/>
        </w:tabs>
        <w:jc w:val="both"/>
        <w:rPr>
          <w:sz w:val="20"/>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ANTONIO BOLDRINI-ME</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RUA ERNESTO DE MARCO, 62    49-3521.0624</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03.405.413/0001-44</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ANTONIO BOLDRINI</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RUA ERNESTO DE MARCO, 62 – JOAÇABA/SC</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743.329.539-91</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0B33FF" w:rsidP="00B91B37">
            <w:pPr>
              <w:suppressAutoHyphens w:val="0"/>
              <w:autoSpaceDE w:val="0"/>
              <w:autoSpaceDN w:val="0"/>
              <w:adjustRightInd w:val="0"/>
              <w:rPr>
                <w:b/>
                <w:sz w:val="20"/>
                <w:lang w:eastAsia="pt-BR"/>
              </w:rPr>
            </w:pPr>
            <w:r>
              <w:rPr>
                <w:b/>
                <w:sz w:val="20"/>
                <w:lang w:eastAsia="pt-BR"/>
              </w:rPr>
              <w:t>2.632.646</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 xml:space="preserve">Os preços ora REGISTRADOS, de acordo a proposta apresentada pela(s) DETENTORA(S) no Processo de Licitação, correspondem à expectativa de aquisição dos seguintes itens: </w:t>
      </w:r>
    </w:p>
    <w:p w:rsidR="00B27F47" w:rsidRPr="0039111B" w:rsidRDefault="00B27F47" w:rsidP="00B27F47">
      <w:pPr>
        <w:pStyle w:val="Corpodetexto"/>
        <w:tabs>
          <w:tab w:val="clear" w:pos="708"/>
          <w:tab w:val="clear" w:pos="2270"/>
          <w:tab w:val="clear" w:pos="4294"/>
          <w:tab w:val="left" w:pos="426"/>
        </w:tabs>
        <w:ind w:left="360"/>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417"/>
        <w:gridCol w:w="1134"/>
        <w:gridCol w:w="1276"/>
      </w:tblGrid>
      <w:tr w:rsidR="00B27F47" w:rsidRPr="0039111B" w:rsidTr="00BD5DA1">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417" w:type="dxa"/>
            <w:shd w:val="clear" w:color="auto" w:fill="auto"/>
            <w:vAlign w:val="center"/>
          </w:tcPr>
          <w:p w:rsidR="00B27F47" w:rsidRPr="0039111B" w:rsidRDefault="00B27F47" w:rsidP="00B91B37">
            <w:pPr>
              <w:jc w:val="center"/>
              <w:rPr>
                <w:sz w:val="20"/>
              </w:rPr>
            </w:pPr>
            <w:r w:rsidRPr="0039111B">
              <w:rPr>
                <w:sz w:val="20"/>
              </w:rPr>
              <w:t>MARCA</w:t>
            </w:r>
          </w:p>
        </w:tc>
        <w:tc>
          <w:tcPr>
            <w:tcW w:w="1134"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16</w:t>
            </w:r>
          </w:p>
        </w:tc>
        <w:tc>
          <w:tcPr>
            <w:tcW w:w="832" w:type="dxa"/>
            <w:vAlign w:val="center"/>
          </w:tcPr>
          <w:p w:rsidR="00B27F47" w:rsidRPr="0039111B" w:rsidRDefault="00B27F47" w:rsidP="00B91B37">
            <w:pPr>
              <w:jc w:val="right"/>
              <w:rPr>
                <w:sz w:val="20"/>
              </w:rPr>
            </w:pPr>
            <w:r w:rsidRPr="0039111B">
              <w:rPr>
                <w:sz w:val="20"/>
              </w:rPr>
              <w:t>5.220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Borracha escolar branca – macia – atóxica – nº 40 – tamanho aproximado: 30x23x7mm </w:t>
            </w:r>
          </w:p>
        </w:tc>
        <w:tc>
          <w:tcPr>
            <w:tcW w:w="1417" w:type="dxa"/>
            <w:vAlign w:val="center"/>
          </w:tcPr>
          <w:p w:rsidR="00B27F47" w:rsidRPr="0039111B" w:rsidRDefault="00BD5DA1" w:rsidP="00B91B37">
            <w:pPr>
              <w:rPr>
                <w:b/>
                <w:sz w:val="20"/>
              </w:rPr>
            </w:pPr>
            <w:r>
              <w:rPr>
                <w:b/>
                <w:sz w:val="20"/>
              </w:rPr>
              <w:t>LEO E LEO</w:t>
            </w:r>
          </w:p>
        </w:tc>
        <w:tc>
          <w:tcPr>
            <w:tcW w:w="1134" w:type="dxa"/>
            <w:vAlign w:val="center"/>
          </w:tcPr>
          <w:p w:rsidR="00B27F47" w:rsidRPr="0039111B" w:rsidRDefault="00BD5DA1" w:rsidP="00B91B37">
            <w:pPr>
              <w:jc w:val="right"/>
              <w:rPr>
                <w:b/>
                <w:sz w:val="20"/>
              </w:rPr>
            </w:pPr>
            <w:r>
              <w:rPr>
                <w:b/>
                <w:sz w:val="20"/>
              </w:rPr>
              <w:t>0,14</w:t>
            </w:r>
          </w:p>
        </w:tc>
        <w:tc>
          <w:tcPr>
            <w:tcW w:w="1276" w:type="dxa"/>
            <w:vAlign w:val="center"/>
          </w:tcPr>
          <w:p w:rsidR="00B27F47" w:rsidRPr="0039111B" w:rsidRDefault="00BD5DA1" w:rsidP="00B91B37">
            <w:pPr>
              <w:jc w:val="right"/>
              <w:rPr>
                <w:b/>
                <w:sz w:val="20"/>
              </w:rPr>
            </w:pPr>
            <w:r>
              <w:rPr>
                <w:b/>
                <w:sz w:val="20"/>
              </w:rPr>
              <w:t>730,80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24</w:t>
            </w:r>
          </w:p>
        </w:tc>
        <w:tc>
          <w:tcPr>
            <w:tcW w:w="832" w:type="dxa"/>
            <w:vAlign w:val="center"/>
          </w:tcPr>
          <w:p w:rsidR="00B27F47" w:rsidRPr="0039111B" w:rsidRDefault="00B27F47" w:rsidP="00B91B37">
            <w:pPr>
              <w:jc w:val="right"/>
              <w:rPr>
                <w:sz w:val="20"/>
              </w:rPr>
            </w:pPr>
            <w:r w:rsidRPr="0039111B">
              <w:rPr>
                <w:sz w:val="20"/>
              </w:rPr>
              <w:t>02</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rPr>
                <w:sz w:val="20"/>
              </w:rPr>
            </w:pPr>
            <w:r w:rsidRPr="0039111B">
              <w:rPr>
                <w:bCs w:val="0"/>
                <w:sz w:val="20"/>
              </w:rPr>
              <w:t xml:space="preserve">Calculadora eletrônica de mesa, com bloco impressor – bobina 58/60 mm – impressão em 02 cores - mínimo 12 dígitos - visor de LCD anti-reflexo iluminado – 04 operações + raiz quadrada + memória + cálculo de taxas e conversão de moeda + </w:t>
            </w:r>
            <w:r w:rsidRPr="0039111B">
              <w:rPr>
                <w:sz w:val="20"/>
              </w:rPr>
              <w:t>porcentagem</w:t>
            </w:r>
            <w:r w:rsidRPr="0039111B">
              <w:rPr>
                <w:bCs w:val="0"/>
                <w:sz w:val="20"/>
              </w:rPr>
              <w:t xml:space="preserve"> + margem bruta + cancelamento e arredondamento + </w:t>
            </w:r>
            <w:r w:rsidRPr="0039111B">
              <w:rPr>
                <w:bCs w:val="0"/>
                <w:sz w:val="20"/>
              </w:rPr>
              <w:lastRenderedPageBreak/>
              <w:t xml:space="preserve">contador de itens/parcelas + inversor de sinais – 220 V e/ou bi volt manual – </w:t>
            </w:r>
            <w:r w:rsidRPr="0039111B">
              <w:rPr>
                <w:iCs/>
                <w:sz w:val="20"/>
              </w:rPr>
              <w:t>garantia mínima 01 ano</w:t>
            </w:r>
          </w:p>
        </w:tc>
        <w:tc>
          <w:tcPr>
            <w:tcW w:w="1417" w:type="dxa"/>
            <w:vAlign w:val="center"/>
          </w:tcPr>
          <w:p w:rsidR="00B27F47" w:rsidRPr="0039111B" w:rsidRDefault="00BD5DA1" w:rsidP="00B91B37">
            <w:pPr>
              <w:rPr>
                <w:b/>
                <w:sz w:val="20"/>
              </w:rPr>
            </w:pPr>
            <w:r>
              <w:rPr>
                <w:b/>
                <w:sz w:val="20"/>
              </w:rPr>
              <w:lastRenderedPageBreak/>
              <w:t>COPIATIC</w:t>
            </w:r>
          </w:p>
        </w:tc>
        <w:tc>
          <w:tcPr>
            <w:tcW w:w="1134" w:type="dxa"/>
            <w:vAlign w:val="center"/>
          </w:tcPr>
          <w:p w:rsidR="00B27F47" w:rsidRPr="0039111B" w:rsidRDefault="00BD5DA1" w:rsidP="00B91B37">
            <w:pPr>
              <w:jc w:val="right"/>
              <w:rPr>
                <w:b/>
                <w:sz w:val="20"/>
              </w:rPr>
            </w:pPr>
            <w:r>
              <w:rPr>
                <w:b/>
                <w:sz w:val="20"/>
              </w:rPr>
              <w:t>208,00</w:t>
            </w:r>
          </w:p>
        </w:tc>
        <w:tc>
          <w:tcPr>
            <w:tcW w:w="1276" w:type="dxa"/>
            <w:vAlign w:val="center"/>
          </w:tcPr>
          <w:p w:rsidR="00B27F47" w:rsidRPr="0039111B" w:rsidRDefault="00BD5DA1" w:rsidP="00B91B37">
            <w:pPr>
              <w:jc w:val="right"/>
              <w:rPr>
                <w:b/>
                <w:sz w:val="20"/>
              </w:rPr>
            </w:pPr>
            <w:r>
              <w:rPr>
                <w:b/>
                <w:sz w:val="20"/>
              </w:rPr>
              <w:t>416,00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lastRenderedPageBreak/>
              <w:t>63</w:t>
            </w:r>
          </w:p>
        </w:tc>
        <w:tc>
          <w:tcPr>
            <w:tcW w:w="832" w:type="dxa"/>
            <w:vAlign w:val="center"/>
          </w:tcPr>
          <w:p w:rsidR="00B27F47" w:rsidRPr="0039111B" w:rsidRDefault="00B27F47" w:rsidP="00B91B37">
            <w:pPr>
              <w:jc w:val="right"/>
              <w:rPr>
                <w:sz w:val="20"/>
              </w:rPr>
            </w:pPr>
            <w:r w:rsidRPr="0039111B">
              <w:rPr>
                <w:sz w:val="20"/>
              </w:rPr>
              <w:t>1.000</w:t>
            </w:r>
          </w:p>
        </w:tc>
        <w:tc>
          <w:tcPr>
            <w:tcW w:w="567" w:type="dxa"/>
            <w:vAlign w:val="center"/>
          </w:tcPr>
          <w:p w:rsidR="00B27F47" w:rsidRPr="0039111B" w:rsidRDefault="00B27F47" w:rsidP="00B91B37">
            <w:pPr>
              <w:snapToGrid w:val="0"/>
              <w:jc w:val="center"/>
              <w:rPr>
                <w:sz w:val="20"/>
              </w:rPr>
            </w:pPr>
            <w:r w:rsidRPr="0039111B">
              <w:rPr>
                <w:sz w:val="20"/>
              </w:rPr>
              <w:t>rl</w:t>
            </w:r>
          </w:p>
        </w:tc>
        <w:tc>
          <w:tcPr>
            <w:tcW w:w="3544" w:type="dxa"/>
            <w:vAlign w:val="center"/>
          </w:tcPr>
          <w:p w:rsidR="00B27F47" w:rsidRPr="0039111B" w:rsidRDefault="00B27F47" w:rsidP="00B91B37">
            <w:pPr>
              <w:snapToGrid w:val="0"/>
              <w:rPr>
                <w:sz w:val="20"/>
              </w:rPr>
            </w:pPr>
            <w:r w:rsidRPr="0039111B">
              <w:rPr>
                <w:sz w:val="20"/>
              </w:rPr>
              <w:t>Fita adesiva papel Kraft liso 36 mm x 50 m – adesivo de resina e borracha – um dorso com filme de polipropileno biorentado – cor bege</w:t>
            </w:r>
          </w:p>
        </w:tc>
        <w:tc>
          <w:tcPr>
            <w:tcW w:w="1417" w:type="dxa"/>
            <w:vAlign w:val="center"/>
          </w:tcPr>
          <w:p w:rsidR="00B27F47" w:rsidRPr="0039111B" w:rsidRDefault="00BD5DA1" w:rsidP="00B91B37">
            <w:pPr>
              <w:rPr>
                <w:b/>
                <w:sz w:val="20"/>
              </w:rPr>
            </w:pPr>
            <w:r>
              <w:rPr>
                <w:b/>
                <w:sz w:val="20"/>
              </w:rPr>
              <w:t>ADELBRAS</w:t>
            </w:r>
          </w:p>
        </w:tc>
        <w:tc>
          <w:tcPr>
            <w:tcW w:w="1134" w:type="dxa"/>
            <w:vAlign w:val="center"/>
          </w:tcPr>
          <w:p w:rsidR="00B27F47" w:rsidRPr="0039111B" w:rsidRDefault="00BD5DA1" w:rsidP="00B91B37">
            <w:pPr>
              <w:jc w:val="right"/>
              <w:rPr>
                <w:b/>
                <w:sz w:val="20"/>
              </w:rPr>
            </w:pPr>
            <w:r>
              <w:rPr>
                <w:b/>
                <w:sz w:val="20"/>
              </w:rPr>
              <w:t>4,70</w:t>
            </w:r>
          </w:p>
        </w:tc>
        <w:tc>
          <w:tcPr>
            <w:tcW w:w="1276" w:type="dxa"/>
            <w:vAlign w:val="center"/>
          </w:tcPr>
          <w:p w:rsidR="00B27F47" w:rsidRPr="0039111B" w:rsidRDefault="00BD5DA1" w:rsidP="00B91B37">
            <w:pPr>
              <w:jc w:val="right"/>
              <w:rPr>
                <w:b/>
                <w:sz w:val="20"/>
              </w:rPr>
            </w:pPr>
            <w:r>
              <w:rPr>
                <w:b/>
                <w:sz w:val="20"/>
              </w:rPr>
              <w:t>4.700,00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88</w:t>
            </w:r>
          </w:p>
        </w:tc>
        <w:tc>
          <w:tcPr>
            <w:tcW w:w="832" w:type="dxa"/>
            <w:vAlign w:val="center"/>
          </w:tcPr>
          <w:p w:rsidR="00B27F47" w:rsidRPr="0039111B" w:rsidRDefault="00B27F47" w:rsidP="00B91B37">
            <w:pPr>
              <w:jc w:val="right"/>
              <w:rPr>
                <w:sz w:val="20"/>
              </w:rPr>
            </w:pPr>
            <w:r w:rsidRPr="0039111B">
              <w:rPr>
                <w:sz w:val="20"/>
              </w:rPr>
              <w:t>2.065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Lápis de cor sextavado, cera e madeira, pigmento aglutinante, carga com desenho macio, resistente e deslizamento fácil ao papel, corpo com fidelidade entre a cor do verniz e a cor da mina, fácil de apontar, produzido em madeira totalmente atóxica, ideal para uso escolar, resistente a quebras, atóxico, impressão no corpo do lápis, marca do fabricante de fácil visualização, medindo aproximadamente 17,5cm de comprimento, unidade com 12 lápis com as cores: rosa claro, vermelho, laranja, amarelo, marrom, verde folha, verde, azul, azul cobalto, carmim, prata e preto - certificação no INMETRO </w:t>
            </w:r>
          </w:p>
        </w:tc>
        <w:tc>
          <w:tcPr>
            <w:tcW w:w="1417" w:type="dxa"/>
            <w:vAlign w:val="center"/>
          </w:tcPr>
          <w:p w:rsidR="00B27F47" w:rsidRPr="0039111B" w:rsidRDefault="00BD5DA1" w:rsidP="00B91B37">
            <w:pPr>
              <w:rPr>
                <w:b/>
                <w:sz w:val="20"/>
              </w:rPr>
            </w:pPr>
            <w:r>
              <w:rPr>
                <w:b/>
                <w:sz w:val="20"/>
              </w:rPr>
              <w:t>LEO FLOG</w:t>
            </w:r>
          </w:p>
        </w:tc>
        <w:tc>
          <w:tcPr>
            <w:tcW w:w="1134" w:type="dxa"/>
            <w:vAlign w:val="center"/>
          </w:tcPr>
          <w:p w:rsidR="00B27F47" w:rsidRPr="0039111B" w:rsidRDefault="00BD5DA1" w:rsidP="00B91B37">
            <w:pPr>
              <w:jc w:val="right"/>
              <w:rPr>
                <w:b/>
                <w:sz w:val="20"/>
              </w:rPr>
            </w:pPr>
            <w:r>
              <w:rPr>
                <w:b/>
                <w:sz w:val="20"/>
              </w:rPr>
              <w:t>4,00</w:t>
            </w:r>
          </w:p>
        </w:tc>
        <w:tc>
          <w:tcPr>
            <w:tcW w:w="1276" w:type="dxa"/>
            <w:vAlign w:val="center"/>
          </w:tcPr>
          <w:p w:rsidR="00B27F47" w:rsidRPr="0039111B" w:rsidRDefault="00BD5DA1" w:rsidP="00B91B37">
            <w:pPr>
              <w:jc w:val="right"/>
              <w:rPr>
                <w:b/>
                <w:sz w:val="20"/>
              </w:rPr>
            </w:pPr>
            <w:r>
              <w:rPr>
                <w:b/>
                <w:sz w:val="20"/>
              </w:rPr>
              <w:t>8.260,00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116</w:t>
            </w:r>
          </w:p>
        </w:tc>
        <w:tc>
          <w:tcPr>
            <w:tcW w:w="832" w:type="dxa"/>
            <w:vAlign w:val="center"/>
          </w:tcPr>
          <w:p w:rsidR="00B27F47" w:rsidRPr="0039111B" w:rsidRDefault="00B27F47" w:rsidP="00B91B37">
            <w:pPr>
              <w:jc w:val="right"/>
              <w:rPr>
                <w:sz w:val="20"/>
              </w:rPr>
            </w:pPr>
            <w:r w:rsidRPr="0039111B">
              <w:rPr>
                <w:sz w:val="20"/>
              </w:rPr>
              <w:t>462</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Pasta AZ – lombo largo 7 cm (600 folhas) – 34,5 x 28,5 cm (L x A) – etiqueta com impressão nos dois lados – 02 argolas  - fechamento por meio de alavanca – protetor metálico prensado. </w:t>
            </w:r>
          </w:p>
        </w:tc>
        <w:tc>
          <w:tcPr>
            <w:tcW w:w="1417" w:type="dxa"/>
            <w:vAlign w:val="center"/>
          </w:tcPr>
          <w:p w:rsidR="00B27F47" w:rsidRPr="0039111B" w:rsidRDefault="006A63F6" w:rsidP="00B91B37">
            <w:pPr>
              <w:rPr>
                <w:b/>
                <w:sz w:val="20"/>
              </w:rPr>
            </w:pPr>
            <w:r>
              <w:rPr>
                <w:b/>
                <w:sz w:val="20"/>
              </w:rPr>
              <w:t>FRAMA</w:t>
            </w:r>
          </w:p>
        </w:tc>
        <w:tc>
          <w:tcPr>
            <w:tcW w:w="1134" w:type="dxa"/>
            <w:vAlign w:val="center"/>
          </w:tcPr>
          <w:p w:rsidR="00B27F47" w:rsidRPr="0039111B" w:rsidRDefault="006A63F6" w:rsidP="00B91B37">
            <w:pPr>
              <w:jc w:val="right"/>
              <w:rPr>
                <w:b/>
                <w:sz w:val="20"/>
              </w:rPr>
            </w:pPr>
            <w:r>
              <w:rPr>
                <w:b/>
                <w:sz w:val="20"/>
              </w:rPr>
              <w:t>5,10</w:t>
            </w:r>
          </w:p>
        </w:tc>
        <w:tc>
          <w:tcPr>
            <w:tcW w:w="1276" w:type="dxa"/>
            <w:vAlign w:val="center"/>
          </w:tcPr>
          <w:p w:rsidR="00B27F47" w:rsidRPr="0039111B" w:rsidRDefault="006A63F6" w:rsidP="00B91B37">
            <w:pPr>
              <w:jc w:val="right"/>
              <w:rPr>
                <w:b/>
                <w:sz w:val="20"/>
              </w:rPr>
            </w:pPr>
            <w:r>
              <w:rPr>
                <w:b/>
                <w:sz w:val="20"/>
              </w:rPr>
              <w:t>2.356,20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128</w:t>
            </w:r>
          </w:p>
        </w:tc>
        <w:tc>
          <w:tcPr>
            <w:tcW w:w="832" w:type="dxa"/>
            <w:vAlign w:val="center"/>
          </w:tcPr>
          <w:p w:rsidR="00B27F47" w:rsidRPr="0039111B" w:rsidRDefault="00B27F47" w:rsidP="00B91B37">
            <w:pPr>
              <w:jc w:val="right"/>
              <w:rPr>
                <w:sz w:val="20"/>
              </w:rPr>
            </w:pPr>
            <w:r w:rsidRPr="0039111B">
              <w:rPr>
                <w:sz w:val="20"/>
              </w:rPr>
              <w:t>101</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Perfurador em aço para papel, capacidade mínima para 30 folhas, indicação para centragem do papel na tampa e na base, 02 furos com espaçamento de 8 cm</w:t>
            </w:r>
          </w:p>
        </w:tc>
        <w:tc>
          <w:tcPr>
            <w:tcW w:w="1417" w:type="dxa"/>
            <w:vAlign w:val="center"/>
          </w:tcPr>
          <w:p w:rsidR="00B27F47" w:rsidRPr="0039111B" w:rsidRDefault="008A68C0" w:rsidP="00B91B37">
            <w:pPr>
              <w:rPr>
                <w:b/>
                <w:sz w:val="20"/>
              </w:rPr>
            </w:pPr>
            <w:r>
              <w:rPr>
                <w:b/>
                <w:sz w:val="20"/>
              </w:rPr>
              <w:t>MASTERPRINT</w:t>
            </w:r>
          </w:p>
        </w:tc>
        <w:tc>
          <w:tcPr>
            <w:tcW w:w="1134" w:type="dxa"/>
            <w:vAlign w:val="center"/>
          </w:tcPr>
          <w:p w:rsidR="00B27F47" w:rsidRPr="0039111B" w:rsidRDefault="008A68C0" w:rsidP="00B91B37">
            <w:pPr>
              <w:jc w:val="right"/>
              <w:rPr>
                <w:b/>
                <w:sz w:val="20"/>
              </w:rPr>
            </w:pPr>
            <w:r>
              <w:rPr>
                <w:b/>
                <w:sz w:val="20"/>
              </w:rPr>
              <w:t>18,00</w:t>
            </w:r>
          </w:p>
        </w:tc>
        <w:tc>
          <w:tcPr>
            <w:tcW w:w="1276" w:type="dxa"/>
            <w:vAlign w:val="center"/>
          </w:tcPr>
          <w:p w:rsidR="00B27F47" w:rsidRPr="0039111B" w:rsidRDefault="008A68C0" w:rsidP="00B91B37">
            <w:pPr>
              <w:jc w:val="right"/>
              <w:rPr>
                <w:b/>
                <w:sz w:val="20"/>
              </w:rPr>
            </w:pPr>
            <w:r>
              <w:rPr>
                <w:b/>
                <w:sz w:val="20"/>
              </w:rPr>
              <w:t>1.818,00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133</w:t>
            </w:r>
          </w:p>
        </w:tc>
        <w:tc>
          <w:tcPr>
            <w:tcW w:w="832" w:type="dxa"/>
            <w:vAlign w:val="center"/>
          </w:tcPr>
          <w:p w:rsidR="00B27F47" w:rsidRPr="0039111B" w:rsidRDefault="00B27F47" w:rsidP="00B91B37">
            <w:pPr>
              <w:jc w:val="right"/>
              <w:rPr>
                <w:sz w:val="20"/>
              </w:rPr>
            </w:pPr>
            <w:r w:rsidRPr="0039111B">
              <w:rPr>
                <w:sz w:val="20"/>
              </w:rPr>
              <w:t>157</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Pincel atômico ponta fina – traço 1,8 mm – formato anatômico cilíndrico ou cônico – em plástico rígido - tampa removível - ponta de feltro, dura e resistente de formato redonda 4,0 mm - recarregável – com 12 un – diversas cores</w:t>
            </w:r>
          </w:p>
        </w:tc>
        <w:tc>
          <w:tcPr>
            <w:tcW w:w="1417" w:type="dxa"/>
            <w:vAlign w:val="center"/>
          </w:tcPr>
          <w:p w:rsidR="00B27F47" w:rsidRPr="0039111B" w:rsidRDefault="008A68C0" w:rsidP="00B91B37">
            <w:pPr>
              <w:rPr>
                <w:b/>
                <w:sz w:val="20"/>
              </w:rPr>
            </w:pPr>
            <w:r>
              <w:rPr>
                <w:b/>
                <w:sz w:val="20"/>
              </w:rPr>
              <w:t>MARIPEL</w:t>
            </w:r>
          </w:p>
        </w:tc>
        <w:tc>
          <w:tcPr>
            <w:tcW w:w="1134" w:type="dxa"/>
            <w:vAlign w:val="center"/>
          </w:tcPr>
          <w:p w:rsidR="00B27F47" w:rsidRPr="0039111B" w:rsidRDefault="008A68C0" w:rsidP="00B91B37">
            <w:pPr>
              <w:jc w:val="right"/>
              <w:rPr>
                <w:b/>
                <w:sz w:val="20"/>
              </w:rPr>
            </w:pPr>
            <w:r>
              <w:rPr>
                <w:b/>
                <w:sz w:val="20"/>
              </w:rPr>
              <w:t>14,30</w:t>
            </w:r>
          </w:p>
        </w:tc>
        <w:tc>
          <w:tcPr>
            <w:tcW w:w="1276" w:type="dxa"/>
            <w:vAlign w:val="center"/>
          </w:tcPr>
          <w:p w:rsidR="00B27F47" w:rsidRPr="0039111B" w:rsidRDefault="008A68C0" w:rsidP="00B91B37">
            <w:pPr>
              <w:jc w:val="right"/>
              <w:rPr>
                <w:b/>
                <w:sz w:val="20"/>
              </w:rPr>
            </w:pPr>
            <w:r>
              <w:rPr>
                <w:b/>
                <w:sz w:val="20"/>
              </w:rPr>
              <w:t>2.245,10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134</w:t>
            </w:r>
          </w:p>
        </w:tc>
        <w:tc>
          <w:tcPr>
            <w:tcW w:w="832" w:type="dxa"/>
            <w:vAlign w:val="center"/>
          </w:tcPr>
          <w:p w:rsidR="00B27F47" w:rsidRPr="0039111B" w:rsidRDefault="00B27F47" w:rsidP="00B91B37">
            <w:pPr>
              <w:jc w:val="right"/>
              <w:rPr>
                <w:sz w:val="20"/>
              </w:rPr>
            </w:pPr>
            <w:r w:rsidRPr="0039111B">
              <w:rPr>
                <w:sz w:val="20"/>
              </w:rPr>
              <w:t>157</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Pincel atômico ponta grossa – espessura de escrita: 2,0 x 4,5 x 8,0 mm – formato anatômico cilíndrico ou cônico – em plástico rígido - tampa removível - ponta de feltro, dura e resistente de formato retangular chanfrada - recarregável – com 12 un – diversas cores</w:t>
            </w:r>
          </w:p>
        </w:tc>
        <w:tc>
          <w:tcPr>
            <w:tcW w:w="1417" w:type="dxa"/>
            <w:vAlign w:val="center"/>
          </w:tcPr>
          <w:p w:rsidR="00B27F47" w:rsidRPr="0039111B" w:rsidRDefault="008A68C0" w:rsidP="00B91B37">
            <w:pPr>
              <w:rPr>
                <w:b/>
                <w:sz w:val="20"/>
              </w:rPr>
            </w:pPr>
            <w:r>
              <w:rPr>
                <w:b/>
                <w:sz w:val="20"/>
              </w:rPr>
              <w:t>MARIPEL</w:t>
            </w:r>
          </w:p>
        </w:tc>
        <w:tc>
          <w:tcPr>
            <w:tcW w:w="1134" w:type="dxa"/>
            <w:vAlign w:val="center"/>
          </w:tcPr>
          <w:p w:rsidR="00B27F47" w:rsidRPr="0039111B" w:rsidRDefault="008A68C0" w:rsidP="00B91B37">
            <w:pPr>
              <w:jc w:val="right"/>
              <w:rPr>
                <w:b/>
                <w:sz w:val="20"/>
              </w:rPr>
            </w:pPr>
            <w:r>
              <w:rPr>
                <w:b/>
                <w:sz w:val="20"/>
              </w:rPr>
              <w:t>17,00</w:t>
            </w:r>
          </w:p>
        </w:tc>
        <w:tc>
          <w:tcPr>
            <w:tcW w:w="1276" w:type="dxa"/>
            <w:vAlign w:val="center"/>
          </w:tcPr>
          <w:p w:rsidR="00B27F47" w:rsidRPr="0039111B" w:rsidRDefault="008A68C0" w:rsidP="00B91B37">
            <w:pPr>
              <w:jc w:val="right"/>
              <w:rPr>
                <w:b/>
                <w:sz w:val="20"/>
              </w:rPr>
            </w:pPr>
            <w:r>
              <w:rPr>
                <w:b/>
                <w:sz w:val="20"/>
              </w:rPr>
              <w:t>2.669,00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159</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jc w:val="both"/>
              <w:rPr>
                <w:sz w:val="20"/>
              </w:rPr>
            </w:pPr>
            <w:r w:rsidRPr="0039111B">
              <w:rPr>
                <w:sz w:val="20"/>
              </w:rPr>
              <w:t>Cartucho de tinta HP C6656 A – original – 19 ml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68,00</w:t>
            </w:r>
          </w:p>
        </w:tc>
        <w:tc>
          <w:tcPr>
            <w:tcW w:w="1276" w:type="dxa"/>
            <w:vAlign w:val="center"/>
          </w:tcPr>
          <w:p w:rsidR="00B27F47" w:rsidRPr="0039111B" w:rsidRDefault="004C422F" w:rsidP="00B91B37">
            <w:pPr>
              <w:jc w:val="right"/>
              <w:rPr>
                <w:b/>
                <w:sz w:val="20"/>
              </w:rPr>
            </w:pPr>
            <w:r>
              <w:rPr>
                <w:b/>
                <w:sz w:val="20"/>
              </w:rPr>
              <w:t>1.360,00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160</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jc w:val="both"/>
              <w:rPr>
                <w:sz w:val="20"/>
              </w:rPr>
            </w:pPr>
            <w:r w:rsidRPr="0039111B">
              <w:rPr>
                <w:sz w:val="20"/>
              </w:rPr>
              <w:t>Cartucho de tinta HP C6657 A – original – 17 ml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95,00</w:t>
            </w:r>
          </w:p>
        </w:tc>
        <w:tc>
          <w:tcPr>
            <w:tcW w:w="1276" w:type="dxa"/>
            <w:vAlign w:val="center"/>
          </w:tcPr>
          <w:p w:rsidR="00B27F47" w:rsidRPr="0039111B" w:rsidRDefault="004C422F" w:rsidP="00B91B37">
            <w:pPr>
              <w:jc w:val="right"/>
              <w:rPr>
                <w:b/>
                <w:sz w:val="20"/>
              </w:rPr>
            </w:pPr>
            <w:r>
              <w:rPr>
                <w:b/>
                <w:sz w:val="20"/>
              </w:rPr>
              <w:t>1.900,00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161</w:t>
            </w:r>
          </w:p>
        </w:tc>
        <w:tc>
          <w:tcPr>
            <w:tcW w:w="832" w:type="dxa"/>
            <w:vAlign w:val="center"/>
          </w:tcPr>
          <w:p w:rsidR="00B27F47" w:rsidRPr="0039111B" w:rsidRDefault="00B27F47" w:rsidP="00B91B37">
            <w:pPr>
              <w:jc w:val="right"/>
              <w:rPr>
                <w:sz w:val="20"/>
              </w:rPr>
            </w:pPr>
            <w:r w:rsidRPr="0039111B">
              <w:rPr>
                <w:sz w:val="20"/>
              </w:rPr>
              <w:t>220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Cartucho de tinta HP C9351 AL – original – 5 ml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36,00</w:t>
            </w:r>
          </w:p>
        </w:tc>
        <w:tc>
          <w:tcPr>
            <w:tcW w:w="1276" w:type="dxa"/>
            <w:vAlign w:val="center"/>
          </w:tcPr>
          <w:p w:rsidR="00B27F47" w:rsidRPr="0039111B" w:rsidRDefault="004C422F" w:rsidP="00B91B37">
            <w:pPr>
              <w:jc w:val="right"/>
              <w:rPr>
                <w:b/>
                <w:sz w:val="20"/>
              </w:rPr>
            </w:pPr>
            <w:r>
              <w:rPr>
                <w:b/>
                <w:sz w:val="20"/>
              </w:rPr>
              <w:t>7.920,00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173</w:t>
            </w:r>
          </w:p>
        </w:tc>
        <w:tc>
          <w:tcPr>
            <w:tcW w:w="832" w:type="dxa"/>
            <w:vAlign w:val="center"/>
          </w:tcPr>
          <w:p w:rsidR="00B27F47" w:rsidRPr="0039111B" w:rsidRDefault="00B27F47" w:rsidP="00B91B37">
            <w:pPr>
              <w:jc w:val="right"/>
              <w:rPr>
                <w:sz w:val="20"/>
              </w:rPr>
            </w:pPr>
            <w:r w:rsidRPr="0039111B">
              <w:rPr>
                <w:sz w:val="20"/>
              </w:rPr>
              <w:t>120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tcPr>
          <w:p w:rsidR="00B27F47" w:rsidRPr="0039111B" w:rsidRDefault="00B27F47" w:rsidP="00B91B37">
            <w:pPr>
              <w:snapToGrid w:val="0"/>
              <w:jc w:val="both"/>
              <w:rPr>
                <w:sz w:val="20"/>
              </w:rPr>
            </w:pPr>
            <w:r w:rsidRPr="0039111B">
              <w:rPr>
                <w:sz w:val="20"/>
              </w:rPr>
              <w:t>Toner HP Q2612A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139,50</w:t>
            </w:r>
          </w:p>
        </w:tc>
        <w:tc>
          <w:tcPr>
            <w:tcW w:w="1276" w:type="dxa"/>
            <w:vAlign w:val="center"/>
          </w:tcPr>
          <w:p w:rsidR="00B27F47" w:rsidRPr="0039111B" w:rsidRDefault="004C422F" w:rsidP="00B91B37">
            <w:pPr>
              <w:jc w:val="right"/>
              <w:rPr>
                <w:b/>
                <w:sz w:val="20"/>
              </w:rPr>
            </w:pPr>
            <w:r>
              <w:rPr>
                <w:b/>
                <w:sz w:val="20"/>
              </w:rPr>
              <w:t>16.740,00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lastRenderedPageBreak/>
              <w:t>174</w:t>
            </w:r>
          </w:p>
        </w:tc>
        <w:tc>
          <w:tcPr>
            <w:tcW w:w="832" w:type="dxa"/>
            <w:vAlign w:val="center"/>
          </w:tcPr>
          <w:p w:rsidR="00B27F47" w:rsidRPr="0039111B" w:rsidRDefault="00B27F47" w:rsidP="00B91B37">
            <w:pPr>
              <w:jc w:val="right"/>
              <w:rPr>
                <w:sz w:val="20"/>
              </w:rPr>
            </w:pPr>
            <w:r w:rsidRPr="0039111B">
              <w:rPr>
                <w:sz w:val="20"/>
              </w:rPr>
              <w:t>68</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tcPr>
          <w:p w:rsidR="00B27F47" w:rsidRPr="0039111B" w:rsidRDefault="00B27F47" w:rsidP="00B91B37">
            <w:pPr>
              <w:snapToGrid w:val="0"/>
              <w:jc w:val="both"/>
              <w:rPr>
                <w:sz w:val="20"/>
              </w:rPr>
            </w:pPr>
            <w:r w:rsidRPr="0039111B">
              <w:rPr>
                <w:sz w:val="20"/>
              </w:rPr>
              <w:t>Toner HP Q7553A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168,00</w:t>
            </w:r>
          </w:p>
        </w:tc>
        <w:tc>
          <w:tcPr>
            <w:tcW w:w="1276" w:type="dxa"/>
            <w:vAlign w:val="center"/>
          </w:tcPr>
          <w:p w:rsidR="00B27F47" w:rsidRPr="0039111B" w:rsidRDefault="004C422F" w:rsidP="00B91B37">
            <w:pPr>
              <w:jc w:val="right"/>
              <w:rPr>
                <w:b/>
                <w:sz w:val="20"/>
              </w:rPr>
            </w:pPr>
            <w:r>
              <w:rPr>
                <w:b/>
                <w:sz w:val="20"/>
              </w:rPr>
              <w:t>11.424,00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176</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CE278A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142,00</w:t>
            </w:r>
          </w:p>
        </w:tc>
        <w:tc>
          <w:tcPr>
            <w:tcW w:w="1276" w:type="dxa"/>
            <w:vAlign w:val="center"/>
          </w:tcPr>
          <w:p w:rsidR="00B27F47" w:rsidRPr="0039111B" w:rsidRDefault="004C422F" w:rsidP="00B91B37">
            <w:pPr>
              <w:jc w:val="right"/>
              <w:rPr>
                <w:b/>
                <w:sz w:val="20"/>
              </w:rPr>
            </w:pPr>
            <w:r>
              <w:rPr>
                <w:b/>
                <w:sz w:val="20"/>
              </w:rPr>
              <w:t>1.420,00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177</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CF283A - original</w:t>
            </w:r>
          </w:p>
        </w:tc>
        <w:tc>
          <w:tcPr>
            <w:tcW w:w="1417" w:type="dxa"/>
            <w:vAlign w:val="center"/>
          </w:tcPr>
          <w:p w:rsidR="00B27F47" w:rsidRPr="0039111B" w:rsidRDefault="004C422F" w:rsidP="00B91B37">
            <w:pPr>
              <w:rPr>
                <w:b/>
                <w:sz w:val="20"/>
                <w:lang w:val="en-US"/>
              </w:rPr>
            </w:pPr>
            <w:r>
              <w:rPr>
                <w:b/>
                <w:sz w:val="20"/>
                <w:lang w:val="en-US"/>
              </w:rPr>
              <w:t>HP</w:t>
            </w:r>
          </w:p>
        </w:tc>
        <w:tc>
          <w:tcPr>
            <w:tcW w:w="1134" w:type="dxa"/>
            <w:vAlign w:val="center"/>
          </w:tcPr>
          <w:p w:rsidR="00B27F47" w:rsidRPr="0039111B" w:rsidRDefault="004C422F" w:rsidP="00B91B37">
            <w:pPr>
              <w:jc w:val="right"/>
              <w:rPr>
                <w:b/>
                <w:sz w:val="20"/>
                <w:lang w:val="en-US"/>
              </w:rPr>
            </w:pPr>
            <w:r>
              <w:rPr>
                <w:b/>
                <w:sz w:val="20"/>
                <w:lang w:val="en-US"/>
              </w:rPr>
              <w:t>139,00</w:t>
            </w:r>
          </w:p>
        </w:tc>
        <w:tc>
          <w:tcPr>
            <w:tcW w:w="1276" w:type="dxa"/>
            <w:vAlign w:val="center"/>
          </w:tcPr>
          <w:p w:rsidR="00B27F47" w:rsidRPr="0039111B" w:rsidRDefault="004C422F" w:rsidP="00B91B37">
            <w:pPr>
              <w:jc w:val="right"/>
              <w:rPr>
                <w:b/>
                <w:sz w:val="20"/>
                <w:lang w:val="en-US"/>
              </w:rPr>
            </w:pPr>
            <w:r>
              <w:rPr>
                <w:b/>
                <w:sz w:val="20"/>
                <w:lang w:val="en-US"/>
              </w:rPr>
              <w:t>1.390,00</w:t>
            </w:r>
          </w:p>
        </w:tc>
      </w:tr>
      <w:tr w:rsidR="00B27F47" w:rsidRPr="0039111B" w:rsidTr="00BD5DA1">
        <w:tc>
          <w:tcPr>
            <w:tcW w:w="694" w:type="dxa"/>
            <w:vAlign w:val="center"/>
          </w:tcPr>
          <w:p w:rsidR="00B27F47" w:rsidRPr="0039111B" w:rsidRDefault="00B27F47" w:rsidP="00B91B37">
            <w:pPr>
              <w:jc w:val="center"/>
              <w:rPr>
                <w:sz w:val="20"/>
                <w:lang w:val="en-US"/>
              </w:rPr>
            </w:pPr>
            <w:r w:rsidRPr="0039111B">
              <w:rPr>
                <w:sz w:val="20"/>
                <w:lang w:val="en-US"/>
              </w:rPr>
              <w:t>178</w:t>
            </w:r>
          </w:p>
        </w:tc>
        <w:tc>
          <w:tcPr>
            <w:tcW w:w="832" w:type="dxa"/>
            <w:vAlign w:val="center"/>
          </w:tcPr>
          <w:p w:rsidR="00B27F47" w:rsidRPr="0039111B" w:rsidRDefault="00B27F47" w:rsidP="00B91B37">
            <w:pPr>
              <w:jc w:val="right"/>
              <w:rPr>
                <w:sz w:val="20"/>
              </w:rPr>
            </w:pPr>
            <w:r w:rsidRPr="0039111B">
              <w:rPr>
                <w:sz w:val="20"/>
              </w:rPr>
              <w:t>70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CE285AB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127,00</w:t>
            </w:r>
          </w:p>
        </w:tc>
        <w:tc>
          <w:tcPr>
            <w:tcW w:w="1276" w:type="dxa"/>
            <w:vAlign w:val="center"/>
          </w:tcPr>
          <w:p w:rsidR="00B27F47" w:rsidRPr="0039111B" w:rsidRDefault="004C422F" w:rsidP="00B91B37">
            <w:pPr>
              <w:jc w:val="right"/>
              <w:rPr>
                <w:b/>
                <w:sz w:val="20"/>
              </w:rPr>
            </w:pPr>
            <w:r>
              <w:rPr>
                <w:b/>
                <w:sz w:val="20"/>
              </w:rPr>
              <w:t>8.890,00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180</w:t>
            </w:r>
          </w:p>
        </w:tc>
        <w:tc>
          <w:tcPr>
            <w:tcW w:w="832" w:type="dxa"/>
            <w:vAlign w:val="center"/>
          </w:tcPr>
          <w:p w:rsidR="00B27F47" w:rsidRPr="0039111B" w:rsidRDefault="00B27F47" w:rsidP="00B91B37">
            <w:pPr>
              <w:jc w:val="right"/>
              <w:rPr>
                <w:sz w:val="20"/>
              </w:rPr>
            </w:pPr>
            <w:r w:rsidRPr="0039111B">
              <w:rPr>
                <w:sz w:val="20"/>
              </w:rPr>
              <w:t>100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CM1415 – CE320A – preto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162,00</w:t>
            </w:r>
          </w:p>
        </w:tc>
        <w:tc>
          <w:tcPr>
            <w:tcW w:w="1276" w:type="dxa"/>
            <w:vAlign w:val="center"/>
          </w:tcPr>
          <w:p w:rsidR="00B27F47" w:rsidRPr="0039111B" w:rsidRDefault="004C422F" w:rsidP="00B91B37">
            <w:pPr>
              <w:jc w:val="right"/>
              <w:rPr>
                <w:b/>
                <w:sz w:val="20"/>
              </w:rPr>
            </w:pPr>
            <w:r>
              <w:rPr>
                <w:b/>
                <w:sz w:val="20"/>
              </w:rPr>
              <w:t>16.200,00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181</w:t>
            </w:r>
          </w:p>
        </w:tc>
        <w:tc>
          <w:tcPr>
            <w:tcW w:w="832" w:type="dxa"/>
            <w:vAlign w:val="center"/>
          </w:tcPr>
          <w:p w:rsidR="00B27F47" w:rsidRPr="0039111B" w:rsidRDefault="00B27F47" w:rsidP="00B91B37">
            <w:pPr>
              <w:jc w:val="right"/>
              <w:rPr>
                <w:sz w:val="20"/>
              </w:rPr>
            </w:pPr>
            <w:r w:rsidRPr="0039111B">
              <w:rPr>
                <w:sz w:val="20"/>
              </w:rPr>
              <w:t>80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CM1415 – CE321A – azul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162,00</w:t>
            </w:r>
          </w:p>
        </w:tc>
        <w:tc>
          <w:tcPr>
            <w:tcW w:w="1276" w:type="dxa"/>
            <w:vAlign w:val="center"/>
          </w:tcPr>
          <w:p w:rsidR="00B27F47" w:rsidRPr="0039111B" w:rsidRDefault="004C422F" w:rsidP="00B91B37">
            <w:pPr>
              <w:jc w:val="right"/>
              <w:rPr>
                <w:b/>
                <w:sz w:val="20"/>
              </w:rPr>
            </w:pPr>
            <w:r>
              <w:rPr>
                <w:b/>
                <w:sz w:val="20"/>
              </w:rPr>
              <w:t>12.960,00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182</w:t>
            </w:r>
          </w:p>
        </w:tc>
        <w:tc>
          <w:tcPr>
            <w:tcW w:w="832" w:type="dxa"/>
            <w:vAlign w:val="center"/>
          </w:tcPr>
          <w:p w:rsidR="00B27F47" w:rsidRPr="0039111B" w:rsidRDefault="00B27F47" w:rsidP="00B91B37">
            <w:pPr>
              <w:jc w:val="right"/>
              <w:rPr>
                <w:sz w:val="20"/>
              </w:rPr>
            </w:pPr>
            <w:r w:rsidRPr="0039111B">
              <w:rPr>
                <w:sz w:val="20"/>
              </w:rPr>
              <w:t>80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CM1415 – CE322A – amarelo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162,00</w:t>
            </w:r>
          </w:p>
        </w:tc>
        <w:tc>
          <w:tcPr>
            <w:tcW w:w="1276" w:type="dxa"/>
            <w:vAlign w:val="center"/>
          </w:tcPr>
          <w:p w:rsidR="00B27F47" w:rsidRPr="0039111B" w:rsidRDefault="004C422F" w:rsidP="00B91B37">
            <w:pPr>
              <w:jc w:val="right"/>
              <w:rPr>
                <w:b/>
                <w:sz w:val="20"/>
              </w:rPr>
            </w:pPr>
            <w:r>
              <w:rPr>
                <w:b/>
                <w:sz w:val="20"/>
              </w:rPr>
              <w:t>12.960,00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183</w:t>
            </w:r>
          </w:p>
        </w:tc>
        <w:tc>
          <w:tcPr>
            <w:tcW w:w="832" w:type="dxa"/>
            <w:vAlign w:val="center"/>
          </w:tcPr>
          <w:p w:rsidR="00B27F47" w:rsidRPr="0039111B" w:rsidRDefault="00B27F47" w:rsidP="00B91B37">
            <w:pPr>
              <w:jc w:val="right"/>
              <w:rPr>
                <w:sz w:val="20"/>
              </w:rPr>
            </w:pPr>
            <w:r w:rsidRPr="0039111B">
              <w:rPr>
                <w:sz w:val="20"/>
              </w:rPr>
              <w:t>80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HP CM1415 – CE323A – magenta - original</w:t>
            </w:r>
          </w:p>
        </w:tc>
        <w:tc>
          <w:tcPr>
            <w:tcW w:w="1417" w:type="dxa"/>
            <w:vAlign w:val="center"/>
          </w:tcPr>
          <w:p w:rsidR="00B27F47" w:rsidRPr="0039111B" w:rsidRDefault="004C422F" w:rsidP="00B91B37">
            <w:pPr>
              <w:rPr>
                <w:b/>
                <w:sz w:val="20"/>
              </w:rPr>
            </w:pPr>
            <w:r>
              <w:rPr>
                <w:b/>
                <w:sz w:val="20"/>
              </w:rPr>
              <w:t>HP</w:t>
            </w:r>
          </w:p>
        </w:tc>
        <w:tc>
          <w:tcPr>
            <w:tcW w:w="1134" w:type="dxa"/>
            <w:vAlign w:val="center"/>
          </w:tcPr>
          <w:p w:rsidR="00B27F47" w:rsidRPr="0039111B" w:rsidRDefault="004C422F" w:rsidP="00B91B37">
            <w:pPr>
              <w:jc w:val="right"/>
              <w:rPr>
                <w:b/>
                <w:sz w:val="20"/>
              </w:rPr>
            </w:pPr>
            <w:r>
              <w:rPr>
                <w:b/>
                <w:sz w:val="20"/>
              </w:rPr>
              <w:t>162,00</w:t>
            </w:r>
          </w:p>
        </w:tc>
        <w:tc>
          <w:tcPr>
            <w:tcW w:w="1276" w:type="dxa"/>
            <w:vAlign w:val="center"/>
          </w:tcPr>
          <w:p w:rsidR="00B27F47" w:rsidRPr="0039111B" w:rsidRDefault="004C422F" w:rsidP="00B91B37">
            <w:pPr>
              <w:jc w:val="right"/>
              <w:rPr>
                <w:b/>
                <w:sz w:val="20"/>
              </w:rPr>
            </w:pPr>
            <w:r>
              <w:rPr>
                <w:b/>
                <w:sz w:val="20"/>
              </w:rPr>
              <w:t>12.960,00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184</w:t>
            </w:r>
          </w:p>
        </w:tc>
        <w:tc>
          <w:tcPr>
            <w:tcW w:w="832" w:type="dxa"/>
            <w:vAlign w:val="center"/>
          </w:tcPr>
          <w:p w:rsidR="00B27F47" w:rsidRPr="0039111B" w:rsidRDefault="00B27F47" w:rsidP="00B91B37">
            <w:pPr>
              <w:jc w:val="right"/>
              <w:rPr>
                <w:sz w:val="20"/>
              </w:rPr>
            </w:pPr>
            <w:r w:rsidRPr="0039111B">
              <w:rPr>
                <w:sz w:val="20"/>
              </w:rPr>
              <w:t>18</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LEXMARK 12018 SL - original</w:t>
            </w:r>
          </w:p>
        </w:tc>
        <w:tc>
          <w:tcPr>
            <w:tcW w:w="1417" w:type="dxa"/>
            <w:vAlign w:val="center"/>
          </w:tcPr>
          <w:p w:rsidR="00B27F47" w:rsidRPr="0039111B" w:rsidRDefault="004C422F" w:rsidP="00B91B37">
            <w:pPr>
              <w:rPr>
                <w:b/>
                <w:sz w:val="20"/>
              </w:rPr>
            </w:pPr>
            <w:r>
              <w:rPr>
                <w:b/>
                <w:sz w:val="20"/>
              </w:rPr>
              <w:t>LEXMARK</w:t>
            </w:r>
          </w:p>
        </w:tc>
        <w:tc>
          <w:tcPr>
            <w:tcW w:w="1134" w:type="dxa"/>
            <w:vAlign w:val="center"/>
          </w:tcPr>
          <w:p w:rsidR="00B27F47" w:rsidRPr="0039111B" w:rsidRDefault="004C422F" w:rsidP="00B91B37">
            <w:pPr>
              <w:jc w:val="right"/>
              <w:rPr>
                <w:b/>
                <w:sz w:val="20"/>
              </w:rPr>
            </w:pPr>
            <w:r>
              <w:rPr>
                <w:b/>
                <w:sz w:val="20"/>
              </w:rPr>
              <w:t>90,00</w:t>
            </w:r>
          </w:p>
        </w:tc>
        <w:tc>
          <w:tcPr>
            <w:tcW w:w="1276" w:type="dxa"/>
            <w:vAlign w:val="center"/>
          </w:tcPr>
          <w:p w:rsidR="00B27F47" w:rsidRPr="0039111B" w:rsidRDefault="004C422F" w:rsidP="00B91B37">
            <w:pPr>
              <w:jc w:val="right"/>
              <w:rPr>
                <w:b/>
                <w:sz w:val="20"/>
              </w:rPr>
            </w:pPr>
            <w:r>
              <w:rPr>
                <w:b/>
                <w:sz w:val="20"/>
              </w:rPr>
              <w:t>1.620,00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193</w:t>
            </w:r>
          </w:p>
        </w:tc>
        <w:tc>
          <w:tcPr>
            <w:tcW w:w="832" w:type="dxa"/>
            <w:vAlign w:val="center"/>
          </w:tcPr>
          <w:p w:rsidR="00B27F47" w:rsidRPr="0039111B" w:rsidRDefault="00B27F47" w:rsidP="00B91B37">
            <w:pPr>
              <w:jc w:val="right"/>
              <w:rPr>
                <w:sz w:val="20"/>
              </w:rPr>
            </w:pPr>
            <w:r w:rsidRPr="0039111B">
              <w:rPr>
                <w:sz w:val="20"/>
              </w:rPr>
              <w:t>40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pacing w:after="75"/>
              <w:outlineLvl w:val="1"/>
              <w:rPr>
                <w:sz w:val="20"/>
              </w:rPr>
            </w:pPr>
            <w:r w:rsidRPr="0039111B">
              <w:rPr>
                <w:sz w:val="20"/>
              </w:rPr>
              <w:t xml:space="preserve">Toner XEROX PHASER 3635 - </w:t>
            </w:r>
            <w:r w:rsidRPr="0039111B">
              <w:rPr>
                <w:bCs w:val="0"/>
                <w:kern w:val="36"/>
                <w:sz w:val="20"/>
                <w:lang w:eastAsia="pt-BR"/>
              </w:rPr>
              <w:t xml:space="preserve">108R00795 </w:t>
            </w:r>
            <w:r w:rsidRPr="0039111B">
              <w:rPr>
                <w:sz w:val="20"/>
              </w:rPr>
              <w:t>– original</w:t>
            </w:r>
          </w:p>
        </w:tc>
        <w:tc>
          <w:tcPr>
            <w:tcW w:w="1417" w:type="dxa"/>
            <w:vAlign w:val="center"/>
          </w:tcPr>
          <w:p w:rsidR="00B27F47" w:rsidRPr="0039111B" w:rsidRDefault="00F15508" w:rsidP="00B91B37">
            <w:pPr>
              <w:rPr>
                <w:b/>
                <w:sz w:val="20"/>
              </w:rPr>
            </w:pPr>
            <w:r>
              <w:rPr>
                <w:b/>
                <w:sz w:val="20"/>
              </w:rPr>
              <w:t>XEROX</w:t>
            </w:r>
          </w:p>
        </w:tc>
        <w:tc>
          <w:tcPr>
            <w:tcW w:w="1134" w:type="dxa"/>
            <w:vAlign w:val="center"/>
          </w:tcPr>
          <w:p w:rsidR="00B27F47" w:rsidRPr="0039111B" w:rsidRDefault="00F15508" w:rsidP="00B91B37">
            <w:pPr>
              <w:jc w:val="right"/>
              <w:rPr>
                <w:b/>
                <w:sz w:val="20"/>
              </w:rPr>
            </w:pPr>
            <w:r>
              <w:rPr>
                <w:b/>
                <w:sz w:val="20"/>
              </w:rPr>
              <w:t>170,00</w:t>
            </w:r>
          </w:p>
        </w:tc>
        <w:tc>
          <w:tcPr>
            <w:tcW w:w="1276" w:type="dxa"/>
            <w:vAlign w:val="center"/>
          </w:tcPr>
          <w:p w:rsidR="00B27F47" w:rsidRPr="0039111B" w:rsidRDefault="00F15508" w:rsidP="00B91B37">
            <w:pPr>
              <w:jc w:val="right"/>
              <w:rPr>
                <w:b/>
                <w:sz w:val="20"/>
              </w:rPr>
            </w:pPr>
            <w:r>
              <w:rPr>
                <w:b/>
                <w:sz w:val="20"/>
              </w:rPr>
              <w:t>6.800,00</w:t>
            </w:r>
          </w:p>
        </w:tc>
      </w:tr>
      <w:tr w:rsidR="00B27F47" w:rsidRPr="0039111B" w:rsidTr="00BD5DA1">
        <w:tc>
          <w:tcPr>
            <w:tcW w:w="694" w:type="dxa"/>
            <w:vAlign w:val="center"/>
          </w:tcPr>
          <w:p w:rsidR="00B27F47" w:rsidRPr="0039111B" w:rsidRDefault="00B27F47" w:rsidP="00B91B37">
            <w:pPr>
              <w:jc w:val="center"/>
              <w:rPr>
                <w:sz w:val="20"/>
              </w:rPr>
            </w:pPr>
            <w:r w:rsidRPr="0039111B">
              <w:rPr>
                <w:sz w:val="20"/>
              </w:rPr>
              <w:t>196</w:t>
            </w:r>
          </w:p>
        </w:tc>
        <w:tc>
          <w:tcPr>
            <w:tcW w:w="832" w:type="dxa"/>
            <w:vAlign w:val="center"/>
          </w:tcPr>
          <w:p w:rsidR="00B27F47" w:rsidRPr="0039111B" w:rsidRDefault="00B27F47" w:rsidP="00B91B37">
            <w:pPr>
              <w:jc w:val="right"/>
              <w:rPr>
                <w:sz w:val="20"/>
              </w:rPr>
            </w:pPr>
            <w:r w:rsidRPr="0039111B">
              <w:rPr>
                <w:sz w:val="20"/>
              </w:rPr>
              <w:t>12</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XEROX PE 220 – 013R00621 – original – capacidade mínima para 3.200 páginas</w:t>
            </w:r>
          </w:p>
        </w:tc>
        <w:tc>
          <w:tcPr>
            <w:tcW w:w="1417" w:type="dxa"/>
            <w:vAlign w:val="center"/>
          </w:tcPr>
          <w:p w:rsidR="00B27F47" w:rsidRPr="0039111B" w:rsidRDefault="00F15508" w:rsidP="00B91B37">
            <w:pPr>
              <w:rPr>
                <w:b/>
                <w:sz w:val="20"/>
              </w:rPr>
            </w:pPr>
            <w:r>
              <w:rPr>
                <w:b/>
                <w:sz w:val="20"/>
              </w:rPr>
              <w:t>XEROX</w:t>
            </w:r>
          </w:p>
        </w:tc>
        <w:tc>
          <w:tcPr>
            <w:tcW w:w="1134" w:type="dxa"/>
            <w:vAlign w:val="center"/>
          </w:tcPr>
          <w:p w:rsidR="00B27F47" w:rsidRPr="0039111B" w:rsidRDefault="00F15508" w:rsidP="00B91B37">
            <w:pPr>
              <w:jc w:val="right"/>
              <w:rPr>
                <w:b/>
                <w:sz w:val="20"/>
              </w:rPr>
            </w:pPr>
            <w:r>
              <w:rPr>
                <w:b/>
                <w:sz w:val="20"/>
              </w:rPr>
              <w:t>203,00</w:t>
            </w:r>
          </w:p>
        </w:tc>
        <w:tc>
          <w:tcPr>
            <w:tcW w:w="1276" w:type="dxa"/>
            <w:vAlign w:val="center"/>
          </w:tcPr>
          <w:p w:rsidR="00B27F47" w:rsidRPr="0039111B" w:rsidRDefault="00F15508" w:rsidP="00B91B37">
            <w:pPr>
              <w:jc w:val="right"/>
              <w:rPr>
                <w:b/>
                <w:sz w:val="20"/>
              </w:rPr>
            </w:pPr>
            <w:r>
              <w:rPr>
                <w:b/>
                <w:sz w:val="20"/>
              </w:rPr>
              <w:t>2.436,00</w:t>
            </w:r>
          </w:p>
        </w:tc>
      </w:tr>
    </w:tbl>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39111B" w:rsidRDefault="00B27F47" w:rsidP="00B27F47">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Pr="0039111B" w:rsidRDefault="00B27F47"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rPr>
        <w:t>Havendo a necessidade dos materiais, o órgão requisitante 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Por ocasião da entrega, a DETENTORA deverá fazer constar das embalagens dos produtos a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Por ocasião do recebimento dos materiais, o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rPr>
      </w:pPr>
      <w:r w:rsidRPr="0039111B">
        <w:rPr>
          <w:sz w:val="20"/>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lastRenderedPageBreak/>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39111B">
        <w:rPr>
          <w:rFonts w:cs="Arial"/>
          <w:sz w:val="20"/>
        </w:rPr>
        <w:t>§</w:t>
      </w:r>
      <w:r w:rsidRPr="0039111B">
        <w:rPr>
          <w:sz w:val="20"/>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Fica estabelecido como limite às adesões por órgãos não participantes do registro de preços o quíntuplo do quantitativo de cada item registrado neste instrumento.</w:t>
      </w:r>
    </w:p>
    <w:p w:rsidR="00B27F47" w:rsidRPr="0039111B" w:rsidRDefault="00B27F47" w:rsidP="00B27F47">
      <w:pPr>
        <w:pStyle w:val="Corpodetexto"/>
        <w:widowControl/>
        <w:tabs>
          <w:tab w:val="clear" w:pos="708"/>
          <w:tab w:val="clear" w:pos="2270"/>
          <w:tab w:val="clear" w:pos="4294"/>
        </w:tabs>
        <w:rPr>
          <w:sz w:val="20"/>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O pagamento será efetuado em até 30 (trinta) dias, contados da entrega do objeto</w:t>
      </w:r>
      <w:r w:rsidRPr="0039111B">
        <w:rPr>
          <w:sz w:val="20"/>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9F454C" w:rsidRDefault="00B27F47" w:rsidP="009F454C">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9F454C"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não serão reajustados. </w:t>
      </w:r>
      <w:r w:rsidRPr="0039111B">
        <w:rPr>
          <w:rFonts w:cs="Arial"/>
          <w:sz w:val="20"/>
        </w:rPr>
        <w:t xml:space="preserve"> </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rPr>
        <w:t>Mesmo comprovada a ocorrência prevista na alínea “d”, inciso II, do art. 65 da Lei nº 8.666/93,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w:t>
      </w:r>
      <w:r w:rsidRPr="0039111B">
        <w:rPr>
          <w:rFonts w:cs="Arial"/>
          <w:sz w:val="20"/>
        </w:rPr>
        <w:lastRenderedPageBreak/>
        <w:t>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Não havendo êxito nas negociações, o órgão gerenciador procederá à revogação da ata de registro de preços, adotando as medidas cabíveis para obtenção da contratação mais vantajosa.</w:t>
      </w:r>
    </w:p>
    <w:p w:rsidR="00B27F47" w:rsidRPr="0039111B" w:rsidRDefault="00B27F47"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QUINTA – DOS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39111B"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Pr="0039111B" w:rsidRDefault="00B27F47"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SEXTA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por eventuais danos causados à Administração ou a terceiros, decorrentes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9F454C"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39111B">
        <w:rPr>
          <w:rFonts w:ascii="Arial" w:hAnsi="Arial" w:cs="Arial"/>
          <w:bCs/>
          <w:sz w:val="20"/>
        </w:rPr>
        <w:t>Responsabilidades 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27F47" w:rsidRPr="0039111B"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 xml:space="preserve">(cinqüenta reais) por dia de atraso, até o limite de 20% (vinte por cento) do total registrado. </w:t>
      </w:r>
    </w:p>
    <w:p w:rsidR="00B27F47" w:rsidRPr="00447C8D"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B27F47" w:rsidRPr="0039111B" w:rsidRDefault="00B27F47" w:rsidP="00B27F47">
      <w:pPr>
        <w:pStyle w:val="Corpodetexto310"/>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Pr="0039111B" w:rsidRDefault="00B27F47"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lastRenderedPageBreak/>
        <w:t>CLÁUSULA OITAVA –</w:t>
      </w:r>
      <w:r w:rsidRPr="0039111B">
        <w:rPr>
          <w:b/>
          <w:sz w:val="20"/>
        </w:rPr>
        <w:t xml:space="preserve"> DO CANCELAMENTO DO REGISTRO DE PREÇOS</w:t>
      </w:r>
    </w:p>
    <w:p w:rsidR="00B27F47" w:rsidRPr="0039111B" w:rsidRDefault="00B27F47"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 o mesmo:</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Descumprir as condições da ata de registro de preços.</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Não retirar a nota de empenho ou instrumento equivalente no prazo estabelecido pela Administração, sem justificativa aceitável.</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Não aceitar reduzir o seu preço registrado, na hipótese deste se tornar superior àqueles praticados no mercado.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Sofrer sanção prevista nos </w:t>
      </w:r>
      <w:hyperlink r:id="rId8" w:anchor="art87iii" w:history="1">
        <w:r w:rsidRPr="0039111B">
          <w:rPr>
            <w:rStyle w:val="Hyperlink"/>
            <w:rFonts w:cs="Arial"/>
            <w:sz w:val="20"/>
          </w:rPr>
          <w:t>inciso III ou IV do caput do art. 87 da Lei nº 8.666/93</w:t>
        </w:r>
      </w:hyperlink>
      <w:r w:rsidRPr="0039111B">
        <w:rPr>
          <w:rFonts w:cs="Arial"/>
          <w:sz w:val="20"/>
        </w:rPr>
        <w:t xml:space="preserve">, ou no </w:t>
      </w:r>
      <w:hyperlink r:id="rId9"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O cancelamento de registros nas hipóteses previstas nas alíneas “a”, “b” e “d” será formalizado por despacho do órgão gerenciador, assegurado o contraditório e a ampla defesa.</w:t>
      </w:r>
    </w:p>
    <w:p w:rsidR="00B27F47" w:rsidRPr="0039111B"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Pr="00447C8D"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B27F47" w:rsidRPr="00447C8D"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Pr="0039111B" w:rsidRDefault="00B27F47"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Pr="0039111B" w:rsidRDefault="00B27F47"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t>E, por estarem acordes, firmam o presente instrumento, juntamente com as testemunhas, em 04 (quatro) vias de igual teor, para todos os efeitos de direito.</w:t>
      </w:r>
    </w:p>
    <w:p w:rsidR="00B27F47" w:rsidRPr="0039111B" w:rsidRDefault="00B27F47"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9F454C" w:rsidP="00B27F47">
      <w:pPr>
        <w:tabs>
          <w:tab w:val="left" w:pos="1134"/>
        </w:tabs>
        <w:jc w:val="center"/>
        <w:rPr>
          <w:sz w:val="20"/>
        </w:rPr>
      </w:pPr>
      <w:r>
        <w:rPr>
          <w:sz w:val="20"/>
        </w:rPr>
        <w:t>ANTONIO BOLDRINI – ME</w:t>
      </w:r>
    </w:p>
    <w:p w:rsidR="009F454C" w:rsidRPr="0039111B" w:rsidRDefault="009F454C" w:rsidP="00B27F47">
      <w:pPr>
        <w:tabs>
          <w:tab w:val="left" w:pos="1134"/>
        </w:tabs>
        <w:jc w:val="center"/>
        <w:rPr>
          <w:sz w:val="20"/>
        </w:rPr>
      </w:pPr>
      <w:r>
        <w:rPr>
          <w:sz w:val="20"/>
        </w:rPr>
        <w:t>ANTONIO BOLDRINI</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924CEF" w:rsidRDefault="00B27F47" w:rsidP="00924CEF">
      <w:pPr>
        <w:numPr>
          <w:ilvl w:val="0"/>
          <w:numId w:val="17"/>
        </w:numPr>
        <w:tabs>
          <w:tab w:val="left" w:pos="284"/>
        </w:tabs>
        <w:ind w:left="284" w:hanging="284"/>
        <w:rPr>
          <w:sz w:val="20"/>
        </w:rPr>
      </w:pPr>
      <w:r w:rsidRPr="0039111B">
        <w:rPr>
          <w:sz w:val="20"/>
        </w:rPr>
        <w:t xml:space="preserve"> _____________________</w:t>
      </w:r>
      <w:r w:rsidR="006E29BA">
        <w:rPr>
          <w:sz w:val="20"/>
        </w:rPr>
        <w:t xml:space="preserve">                                     2.__________________________</w:t>
      </w:r>
    </w:p>
    <w:sectPr w:rsidR="00B27F47" w:rsidRPr="00924CEF" w:rsidSect="009A18E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28" w:rsidRDefault="00447228" w:rsidP="00447228">
      <w:r>
        <w:separator/>
      </w:r>
    </w:p>
  </w:endnote>
  <w:endnote w:type="continuationSeparator" w:id="0">
    <w:p w:rsidR="00447228" w:rsidRDefault="00447228" w:rsidP="00447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110"/>
      <w:docPartObj>
        <w:docPartGallery w:val="Page Numbers (Bottom of Page)"/>
        <w:docPartUnique/>
      </w:docPartObj>
    </w:sdtPr>
    <w:sdtContent>
      <w:p w:rsidR="00D607F6" w:rsidRDefault="00D607F6">
        <w:pPr>
          <w:pStyle w:val="Rodap"/>
          <w:jc w:val="right"/>
        </w:pPr>
      </w:p>
      <w:p w:rsidR="00447228" w:rsidRDefault="009C1860">
        <w:pPr>
          <w:pStyle w:val="Rodap"/>
          <w:jc w:val="right"/>
        </w:pPr>
        <w:fldSimple w:instr=" PAGE   \* MERGEFORMAT ">
          <w:r w:rsidR="00924CEF">
            <w:rPr>
              <w:noProof/>
            </w:rPr>
            <w:t>6</w:t>
          </w:r>
        </w:fldSimple>
      </w:p>
    </w:sdtContent>
  </w:sdt>
  <w:p w:rsidR="00447228" w:rsidRDefault="004472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28" w:rsidRDefault="00447228" w:rsidP="00447228">
      <w:r>
        <w:separator/>
      </w:r>
    </w:p>
  </w:footnote>
  <w:footnote w:type="continuationSeparator" w:id="0">
    <w:p w:rsidR="00447228" w:rsidRDefault="00447228" w:rsidP="00447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F6" w:rsidRDefault="00D607F6" w:rsidP="00D607F6">
    <w:pPr>
      <w:ind w:left="993"/>
      <w:rPr>
        <w:sz w:val="20"/>
      </w:rPr>
    </w:pPr>
    <w:r>
      <w:rPr>
        <w:noProof/>
        <w:lang w:eastAsia="pt-BR"/>
      </w:rPr>
      <w:drawing>
        <wp:anchor distT="0" distB="0" distL="0" distR="114935" simplePos="0" relativeHeight="251658240"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46735" cy="666750"/>
                  </a:xfrm>
                  <a:prstGeom prst="rect">
                    <a:avLst/>
                  </a:prstGeom>
                  <a:solidFill>
                    <a:srgbClr val="FFFFFF"/>
                  </a:solidFill>
                </pic:spPr>
              </pic:pic>
            </a:graphicData>
          </a:graphic>
        </wp:anchor>
      </w:drawing>
    </w:r>
    <w:r>
      <w:rPr>
        <w:sz w:val="20"/>
      </w:rPr>
      <w:t>Estado de Santa Catarina</w:t>
    </w:r>
  </w:p>
  <w:p w:rsidR="00D607F6" w:rsidRDefault="00D607F6" w:rsidP="00D607F6">
    <w:pPr>
      <w:ind w:left="993"/>
      <w:rPr>
        <w:b/>
        <w:sz w:val="20"/>
      </w:rPr>
    </w:pPr>
    <w:r>
      <w:rPr>
        <w:b/>
        <w:sz w:val="20"/>
      </w:rPr>
      <w:t>MUNICÍPIO DE JOAÇABA</w:t>
    </w:r>
  </w:p>
  <w:p w:rsidR="00447228" w:rsidRDefault="00447228">
    <w:pPr>
      <w:pStyle w:val="Cabealho"/>
    </w:pPr>
  </w:p>
  <w:p w:rsidR="00D607F6" w:rsidRDefault="00D607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1">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9"/>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8"/>
  </w:num>
  <w:num w:numId="20">
    <w:abstractNumId w:val="30"/>
  </w:num>
  <w:num w:numId="21">
    <w:abstractNumId w:val="11"/>
  </w:num>
  <w:num w:numId="22">
    <w:abstractNumId w:val="16"/>
  </w:num>
  <w:num w:numId="23">
    <w:abstractNumId w:val="26"/>
  </w:num>
  <w:num w:numId="24">
    <w:abstractNumId w:val="7"/>
  </w:num>
  <w:num w:numId="25">
    <w:abstractNumId w:val="21"/>
  </w:num>
  <w:num w:numId="26">
    <w:abstractNumId w:val="15"/>
  </w:num>
  <w:num w:numId="27">
    <w:abstractNumId w:val="31"/>
  </w:num>
  <w:num w:numId="28">
    <w:abstractNumId w:val="27"/>
  </w:num>
  <w:num w:numId="29">
    <w:abstractNumId w:val="9"/>
  </w:num>
  <w:num w:numId="30">
    <w:abstractNumId w:val="25"/>
  </w:num>
  <w:num w:numId="31">
    <w:abstractNumId w:val="32"/>
  </w:num>
  <w:num w:numId="32">
    <w:abstractNumId w:val="33"/>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27F47"/>
    <w:rsid w:val="00015400"/>
    <w:rsid w:val="00076DDC"/>
    <w:rsid w:val="000931F4"/>
    <w:rsid w:val="000A08DC"/>
    <w:rsid w:val="000B33FF"/>
    <w:rsid w:val="000C09B6"/>
    <w:rsid w:val="000C4055"/>
    <w:rsid w:val="000C415F"/>
    <w:rsid w:val="000D73B2"/>
    <w:rsid w:val="00110429"/>
    <w:rsid w:val="001173EE"/>
    <w:rsid w:val="00135678"/>
    <w:rsid w:val="001D1757"/>
    <w:rsid w:val="001D40C2"/>
    <w:rsid w:val="00215F35"/>
    <w:rsid w:val="00224EA4"/>
    <w:rsid w:val="00246311"/>
    <w:rsid w:val="002467A8"/>
    <w:rsid w:val="002A34A2"/>
    <w:rsid w:val="002A7D60"/>
    <w:rsid w:val="002C34BB"/>
    <w:rsid w:val="0031085E"/>
    <w:rsid w:val="00361AF6"/>
    <w:rsid w:val="00375552"/>
    <w:rsid w:val="003A58AC"/>
    <w:rsid w:val="003C2BB6"/>
    <w:rsid w:val="003D6D59"/>
    <w:rsid w:val="00447228"/>
    <w:rsid w:val="00447C8D"/>
    <w:rsid w:val="00451822"/>
    <w:rsid w:val="00481181"/>
    <w:rsid w:val="004C27F3"/>
    <w:rsid w:val="004C422F"/>
    <w:rsid w:val="004C7FED"/>
    <w:rsid w:val="00506827"/>
    <w:rsid w:val="00643006"/>
    <w:rsid w:val="00660F6C"/>
    <w:rsid w:val="006878DE"/>
    <w:rsid w:val="006A63F6"/>
    <w:rsid w:val="006E29BA"/>
    <w:rsid w:val="006F3A2E"/>
    <w:rsid w:val="0071278B"/>
    <w:rsid w:val="00715B85"/>
    <w:rsid w:val="00754845"/>
    <w:rsid w:val="007713A1"/>
    <w:rsid w:val="0079340E"/>
    <w:rsid w:val="0079641C"/>
    <w:rsid w:val="007B2E8C"/>
    <w:rsid w:val="00810FBE"/>
    <w:rsid w:val="0081133F"/>
    <w:rsid w:val="008A1EE8"/>
    <w:rsid w:val="008A47FE"/>
    <w:rsid w:val="008A68C0"/>
    <w:rsid w:val="008A7A34"/>
    <w:rsid w:val="008E5053"/>
    <w:rsid w:val="0092043A"/>
    <w:rsid w:val="00924CEF"/>
    <w:rsid w:val="009623C6"/>
    <w:rsid w:val="00963FF5"/>
    <w:rsid w:val="009A18EF"/>
    <w:rsid w:val="009B5729"/>
    <w:rsid w:val="009C1860"/>
    <w:rsid w:val="009D7FC8"/>
    <w:rsid w:val="009F2051"/>
    <w:rsid w:val="009F454C"/>
    <w:rsid w:val="00A02037"/>
    <w:rsid w:val="00A37263"/>
    <w:rsid w:val="00A73FF0"/>
    <w:rsid w:val="00A81EA5"/>
    <w:rsid w:val="00AA7253"/>
    <w:rsid w:val="00AB61EE"/>
    <w:rsid w:val="00AE7840"/>
    <w:rsid w:val="00B27F47"/>
    <w:rsid w:val="00B357EE"/>
    <w:rsid w:val="00B426F0"/>
    <w:rsid w:val="00B61320"/>
    <w:rsid w:val="00B919C8"/>
    <w:rsid w:val="00B91B37"/>
    <w:rsid w:val="00BD5DA1"/>
    <w:rsid w:val="00BE7F53"/>
    <w:rsid w:val="00C44A15"/>
    <w:rsid w:val="00C77F3C"/>
    <w:rsid w:val="00CB1C54"/>
    <w:rsid w:val="00D1425D"/>
    <w:rsid w:val="00D607F6"/>
    <w:rsid w:val="00D73BC3"/>
    <w:rsid w:val="00DF27B5"/>
    <w:rsid w:val="00DF3894"/>
    <w:rsid w:val="00E35C3A"/>
    <w:rsid w:val="00E65F18"/>
    <w:rsid w:val="00F11DFB"/>
    <w:rsid w:val="00F15508"/>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rPr>
  </w:style>
  <w:style w:type="paragraph" w:styleId="Ttulo8">
    <w:name w:val="heading 8"/>
    <w:basedOn w:val="Normal"/>
    <w:next w:val="Normal"/>
    <w:link w:val="Ttulo8Char"/>
    <w:qFormat/>
    <w:rsid w:val="00B27F47"/>
    <w:pPr>
      <w:keepNext/>
      <w:jc w:val="center"/>
      <w:outlineLvl w:val="7"/>
    </w:pPr>
    <w:rPr>
      <w:rFonts w:cs="Times New Roman"/>
      <w:b/>
      <w:bCs w:val="0"/>
      <w:sz w:val="20"/>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semiHidden/>
    <w:rsid w:val="00B27F47"/>
    <w:rPr>
      <w:rFonts w:ascii="Times New Roman" w:hAnsi="Times New Roman" w:cs="Times New Roman"/>
      <w:b/>
      <w:bCs w:val="0"/>
    </w:rPr>
  </w:style>
  <w:style w:type="character" w:customStyle="1" w:styleId="CabealhoChar">
    <w:name w:val="Cabeçalho Char"/>
    <w:basedOn w:val="Fontepargpadro"/>
    <w:link w:val="Cabealho"/>
    <w:semiHidden/>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uiPriority w:val="99"/>
    <w:rsid w:val="00B27F47"/>
    <w:pPr>
      <w:tabs>
        <w:tab w:val="center" w:pos="4419"/>
        <w:tab w:val="right" w:pos="8838"/>
      </w:tabs>
    </w:pPr>
  </w:style>
  <w:style w:type="character" w:customStyle="1" w:styleId="RodapChar">
    <w:name w:val="Rodapé Char"/>
    <w:basedOn w:val="Fontepargpadro"/>
    <w:link w:val="Rodap"/>
    <w:uiPriority w:val="99"/>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0">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Corpodetexto22">
    <w:name w:val="Corpo de texto 22"/>
    <w:basedOn w:val="Normal"/>
    <w:rsid w:val="00B27F47"/>
    <w:pPr>
      <w:ind w:firstLine="709"/>
      <w:jc w:val="both"/>
    </w:pPr>
    <w:rPr>
      <w:rFonts w:ascii="Times New Roman" w:hAnsi="Times New Roman" w:cs="Times New Roman"/>
      <w:bCs w:val="0"/>
    </w:rPr>
  </w:style>
  <w:style w:type="paragraph" w:customStyle="1" w:styleId="Corpodetexto220">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divs>
    <w:div w:id="14205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2876</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2016-06-07T16:55:00Z</dcterms:created>
  <dcterms:modified xsi:type="dcterms:W3CDTF">2016-06-07T17:12:00Z</dcterms:modified>
</cp:coreProperties>
</file>