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948D2" w:rsidRDefault="00B27F47" w:rsidP="00B27F47">
      <w:pPr>
        <w:ind w:left="993"/>
        <w:rPr>
          <w:sz w:val="20"/>
        </w:rPr>
      </w:pPr>
      <w:r>
        <w:rPr>
          <w:noProof/>
          <w:lang w:eastAsia="pt-BR"/>
        </w:rPr>
        <w:drawing>
          <wp:anchor distT="0" distB="0" distL="0" distR="114935" simplePos="0" relativeHeight="251660288"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27F47" w:rsidRPr="00F144B4" w:rsidRDefault="00B27F47" w:rsidP="00B27F47">
      <w:pPr>
        <w:ind w:left="993"/>
        <w:rPr>
          <w:b/>
          <w:sz w:val="20"/>
        </w:rPr>
      </w:pPr>
      <w:r w:rsidRPr="00F144B4">
        <w:rPr>
          <w:b/>
          <w:sz w:val="20"/>
        </w:rPr>
        <w:t>MUNICÍPIO DE JOAÇABA</w:t>
      </w:r>
    </w:p>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714ACB">
        <w:rPr>
          <w:b/>
          <w:sz w:val="20"/>
          <w:lang w:eastAsia="pt-BR"/>
        </w:rPr>
        <w:t>/2016/03</w:t>
      </w: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w:t>
      </w:r>
      <w:proofErr w:type="gramStart"/>
      <w:r w:rsidR="00B27F47" w:rsidRPr="0039111B">
        <w:rPr>
          <w:sz w:val="20"/>
        </w:rPr>
        <w:t>social(</w:t>
      </w:r>
      <w:proofErr w:type="gramEnd"/>
      <w:r w:rsidR="00B27F47" w:rsidRPr="0039111B">
        <w:rPr>
          <w:sz w:val="20"/>
        </w:rPr>
        <w:t xml:space="preserve">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714ACB" w:rsidP="00B91B37">
            <w:pPr>
              <w:suppressAutoHyphens w:val="0"/>
              <w:autoSpaceDE w:val="0"/>
              <w:autoSpaceDN w:val="0"/>
              <w:adjustRightInd w:val="0"/>
              <w:rPr>
                <w:b/>
                <w:sz w:val="20"/>
                <w:lang w:eastAsia="pt-BR"/>
              </w:rPr>
            </w:pPr>
            <w:proofErr w:type="spellStart"/>
            <w:r>
              <w:rPr>
                <w:b/>
                <w:sz w:val="20"/>
                <w:lang w:eastAsia="pt-BR"/>
              </w:rPr>
              <w:t>L.A.</w:t>
            </w:r>
            <w:proofErr w:type="spellEnd"/>
            <w:r>
              <w:rPr>
                <w:b/>
                <w:sz w:val="20"/>
                <w:lang w:eastAsia="pt-BR"/>
              </w:rPr>
              <w:t xml:space="preserve"> CN INFORMATICA LTDA-ME</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714ACB" w:rsidP="00B91B37">
            <w:pPr>
              <w:suppressAutoHyphens w:val="0"/>
              <w:autoSpaceDE w:val="0"/>
              <w:autoSpaceDN w:val="0"/>
              <w:adjustRightInd w:val="0"/>
              <w:rPr>
                <w:b/>
                <w:sz w:val="20"/>
                <w:lang w:eastAsia="pt-BR"/>
              </w:rPr>
            </w:pPr>
            <w:r>
              <w:rPr>
                <w:b/>
                <w:sz w:val="20"/>
                <w:lang w:eastAsia="pt-BR"/>
              </w:rPr>
              <w:t>RUA MAL DEODORO, 337 – 49-3541-</w:t>
            </w:r>
            <w:proofErr w:type="gramStart"/>
            <w:r>
              <w:rPr>
                <w:b/>
                <w:sz w:val="20"/>
                <w:lang w:eastAsia="pt-BR"/>
              </w:rPr>
              <w:t>0724</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714ACB" w:rsidP="00B91B37">
            <w:pPr>
              <w:suppressAutoHyphens w:val="0"/>
              <w:autoSpaceDE w:val="0"/>
              <w:autoSpaceDN w:val="0"/>
              <w:adjustRightInd w:val="0"/>
              <w:rPr>
                <w:b/>
                <w:sz w:val="20"/>
                <w:lang w:eastAsia="pt-BR"/>
              </w:rPr>
            </w:pPr>
            <w:r>
              <w:rPr>
                <w:b/>
                <w:sz w:val="20"/>
                <w:lang w:eastAsia="pt-BR"/>
              </w:rPr>
              <w:t>11.924.851/0001-47</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4C4D59" w:rsidP="00B91B37">
            <w:pPr>
              <w:suppressAutoHyphens w:val="0"/>
              <w:autoSpaceDE w:val="0"/>
              <w:autoSpaceDN w:val="0"/>
              <w:adjustRightInd w:val="0"/>
              <w:rPr>
                <w:b/>
                <w:sz w:val="20"/>
                <w:lang w:eastAsia="pt-BR"/>
              </w:rPr>
            </w:pPr>
            <w:r>
              <w:rPr>
                <w:b/>
                <w:sz w:val="20"/>
                <w:lang w:eastAsia="pt-BR"/>
              </w:rPr>
              <w:t>ANGELO MATOS DA CAS</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4C4D59" w:rsidP="00B91B37">
            <w:pPr>
              <w:suppressAutoHyphens w:val="0"/>
              <w:autoSpaceDE w:val="0"/>
              <w:autoSpaceDN w:val="0"/>
              <w:adjustRightInd w:val="0"/>
              <w:rPr>
                <w:b/>
                <w:sz w:val="20"/>
                <w:lang w:eastAsia="pt-BR"/>
              </w:rPr>
            </w:pPr>
            <w:r>
              <w:rPr>
                <w:b/>
                <w:sz w:val="20"/>
                <w:lang w:eastAsia="pt-BR"/>
              </w:rPr>
              <w:t xml:space="preserve">RUA ELIZIO BIOLCHI, </w:t>
            </w:r>
            <w:proofErr w:type="gramStart"/>
            <w:r>
              <w:rPr>
                <w:b/>
                <w:sz w:val="20"/>
                <w:lang w:eastAsia="pt-BR"/>
              </w:rPr>
              <w:t>167</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4C4D59" w:rsidP="00B91B37">
            <w:pPr>
              <w:suppressAutoHyphens w:val="0"/>
              <w:autoSpaceDE w:val="0"/>
              <w:autoSpaceDN w:val="0"/>
              <w:adjustRightInd w:val="0"/>
              <w:rPr>
                <w:b/>
                <w:sz w:val="20"/>
                <w:lang w:eastAsia="pt-BR"/>
              </w:rPr>
            </w:pPr>
            <w:r>
              <w:rPr>
                <w:b/>
                <w:sz w:val="20"/>
                <w:lang w:eastAsia="pt-BR"/>
              </w:rPr>
              <w:t>015.867.539-83</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4C4D59" w:rsidP="00B91B37">
            <w:pPr>
              <w:suppressAutoHyphens w:val="0"/>
              <w:autoSpaceDE w:val="0"/>
              <w:autoSpaceDN w:val="0"/>
              <w:adjustRightInd w:val="0"/>
              <w:rPr>
                <w:b/>
                <w:sz w:val="20"/>
                <w:lang w:eastAsia="pt-BR"/>
              </w:rPr>
            </w:pPr>
            <w:r>
              <w:rPr>
                <w:b/>
                <w:sz w:val="20"/>
                <w:lang w:eastAsia="pt-BR"/>
              </w:rPr>
              <w:t>2.820.786</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134"/>
        <w:gridCol w:w="1417"/>
        <w:gridCol w:w="1276"/>
      </w:tblGrid>
      <w:tr w:rsidR="00B27F47" w:rsidRPr="0039111B" w:rsidTr="008A7A34">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134" w:type="dxa"/>
            <w:shd w:val="clear" w:color="auto" w:fill="auto"/>
            <w:vAlign w:val="center"/>
          </w:tcPr>
          <w:p w:rsidR="00B27F47" w:rsidRPr="0039111B" w:rsidRDefault="00B27F47" w:rsidP="00B91B37">
            <w:pPr>
              <w:jc w:val="center"/>
              <w:rPr>
                <w:sz w:val="20"/>
              </w:rPr>
            </w:pPr>
            <w:r w:rsidRPr="0039111B">
              <w:rPr>
                <w:sz w:val="20"/>
              </w:rPr>
              <w:t>MARCA</w:t>
            </w:r>
          </w:p>
        </w:tc>
        <w:tc>
          <w:tcPr>
            <w:tcW w:w="1417"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8A7A34">
        <w:tc>
          <w:tcPr>
            <w:tcW w:w="694" w:type="dxa"/>
            <w:vAlign w:val="center"/>
          </w:tcPr>
          <w:p w:rsidR="00B27F47" w:rsidRPr="0039111B" w:rsidRDefault="00B27F47" w:rsidP="00B91B37">
            <w:pPr>
              <w:jc w:val="center"/>
              <w:rPr>
                <w:sz w:val="20"/>
              </w:rPr>
            </w:pPr>
            <w:proofErr w:type="gramStart"/>
            <w:r w:rsidRPr="0039111B">
              <w:rPr>
                <w:sz w:val="20"/>
              </w:rPr>
              <w:t>3</w:t>
            </w:r>
            <w:proofErr w:type="gramEnd"/>
          </w:p>
        </w:tc>
        <w:tc>
          <w:tcPr>
            <w:tcW w:w="832" w:type="dxa"/>
            <w:vAlign w:val="center"/>
          </w:tcPr>
          <w:p w:rsidR="00B27F47" w:rsidRPr="0039111B" w:rsidRDefault="00B27F47" w:rsidP="00B91B37">
            <w:pPr>
              <w:jc w:val="right"/>
              <w:rPr>
                <w:sz w:val="20"/>
              </w:rPr>
            </w:pPr>
            <w:r w:rsidRPr="0039111B">
              <w:rPr>
                <w:sz w:val="20"/>
              </w:rPr>
              <w:t>70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Alfinete para mapas nº 1 em aço niquelado com cabeça plástica </w:t>
            </w:r>
            <w:proofErr w:type="gramStart"/>
            <w:r w:rsidRPr="0039111B">
              <w:rPr>
                <w:sz w:val="20"/>
              </w:rPr>
              <w:t>5</w:t>
            </w:r>
            <w:proofErr w:type="gramEnd"/>
            <w:r w:rsidRPr="0039111B">
              <w:rPr>
                <w:sz w:val="20"/>
              </w:rPr>
              <w:t xml:space="preserve"> mm colorida  – com 50 </w:t>
            </w:r>
            <w:proofErr w:type="spellStart"/>
            <w:r w:rsidRPr="0039111B">
              <w:rPr>
                <w:sz w:val="20"/>
              </w:rPr>
              <w:t>un</w:t>
            </w:r>
            <w:proofErr w:type="spellEnd"/>
          </w:p>
        </w:tc>
        <w:tc>
          <w:tcPr>
            <w:tcW w:w="1134" w:type="dxa"/>
            <w:vAlign w:val="center"/>
          </w:tcPr>
          <w:p w:rsidR="00B27F47" w:rsidRPr="0039111B" w:rsidRDefault="007A5673" w:rsidP="00B91B37">
            <w:pPr>
              <w:rPr>
                <w:b/>
                <w:sz w:val="20"/>
              </w:rPr>
            </w:pPr>
            <w:r>
              <w:rPr>
                <w:b/>
                <w:sz w:val="20"/>
              </w:rPr>
              <w:t>BEW</w:t>
            </w:r>
          </w:p>
        </w:tc>
        <w:tc>
          <w:tcPr>
            <w:tcW w:w="1417" w:type="dxa"/>
            <w:vAlign w:val="center"/>
          </w:tcPr>
          <w:p w:rsidR="00B27F47" w:rsidRPr="0039111B" w:rsidRDefault="007A5673" w:rsidP="00B91B37">
            <w:pPr>
              <w:jc w:val="right"/>
              <w:rPr>
                <w:b/>
                <w:sz w:val="20"/>
              </w:rPr>
            </w:pPr>
            <w:r>
              <w:rPr>
                <w:b/>
                <w:sz w:val="20"/>
              </w:rPr>
              <w:t>1,59</w:t>
            </w:r>
          </w:p>
        </w:tc>
        <w:tc>
          <w:tcPr>
            <w:tcW w:w="1276" w:type="dxa"/>
            <w:vAlign w:val="center"/>
          </w:tcPr>
          <w:p w:rsidR="00B27F47" w:rsidRPr="0039111B" w:rsidRDefault="007A5673" w:rsidP="00B91B37">
            <w:pPr>
              <w:jc w:val="right"/>
              <w:rPr>
                <w:b/>
                <w:sz w:val="20"/>
              </w:rPr>
            </w:pPr>
            <w:r>
              <w:rPr>
                <w:b/>
                <w:sz w:val="20"/>
              </w:rPr>
              <w:t>111,30</w:t>
            </w:r>
          </w:p>
        </w:tc>
      </w:tr>
      <w:tr w:rsidR="00B27F47" w:rsidRPr="0039111B" w:rsidTr="008A7A34">
        <w:tc>
          <w:tcPr>
            <w:tcW w:w="694" w:type="dxa"/>
            <w:vAlign w:val="center"/>
          </w:tcPr>
          <w:p w:rsidR="00B27F47" w:rsidRPr="0039111B" w:rsidRDefault="00B27F47" w:rsidP="00B91B37">
            <w:pPr>
              <w:jc w:val="center"/>
              <w:rPr>
                <w:sz w:val="20"/>
              </w:rPr>
            </w:pPr>
            <w:proofErr w:type="gramStart"/>
            <w:r w:rsidRPr="0039111B">
              <w:rPr>
                <w:sz w:val="20"/>
              </w:rPr>
              <w:t>8</w:t>
            </w:r>
            <w:proofErr w:type="gramEnd"/>
          </w:p>
        </w:tc>
        <w:tc>
          <w:tcPr>
            <w:tcW w:w="832" w:type="dxa"/>
            <w:vAlign w:val="center"/>
          </w:tcPr>
          <w:p w:rsidR="00B27F47" w:rsidRPr="0039111B" w:rsidRDefault="00B27F47" w:rsidP="00B91B37">
            <w:pPr>
              <w:jc w:val="right"/>
              <w:rPr>
                <w:sz w:val="20"/>
              </w:rPr>
            </w:pPr>
            <w:r w:rsidRPr="0039111B">
              <w:rPr>
                <w:sz w:val="20"/>
              </w:rPr>
              <w:t>730</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un</w:t>
            </w:r>
          </w:p>
        </w:tc>
        <w:tc>
          <w:tcPr>
            <w:tcW w:w="3544" w:type="dxa"/>
            <w:vAlign w:val="center"/>
          </w:tcPr>
          <w:p w:rsidR="00B27F47" w:rsidRPr="0039111B" w:rsidRDefault="00B27F47" w:rsidP="00B91B37">
            <w:pPr>
              <w:snapToGrid w:val="0"/>
              <w:rPr>
                <w:sz w:val="20"/>
              </w:rPr>
            </w:pPr>
            <w:r w:rsidRPr="0039111B">
              <w:rPr>
                <w:sz w:val="20"/>
              </w:rPr>
              <w:t>Bastão de cola de silicone a quente – fino – 08/10x350mm</w:t>
            </w:r>
          </w:p>
        </w:tc>
        <w:tc>
          <w:tcPr>
            <w:tcW w:w="1134" w:type="dxa"/>
            <w:vAlign w:val="center"/>
          </w:tcPr>
          <w:p w:rsidR="00B27F47" w:rsidRPr="0039111B" w:rsidRDefault="007A5673" w:rsidP="00B91B37">
            <w:pPr>
              <w:rPr>
                <w:b/>
                <w:sz w:val="20"/>
              </w:rPr>
            </w:pPr>
            <w:r>
              <w:rPr>
                <w:b/>
                <w:sz w:val="20"/>
              </w:rPr>
              <w:t>RENDICOLA</w:t>
            </w:r>
          </w:p>
        </w:tc>
        <w:tc>
          <w:tcPr>
            <w:tcW w:w="1417" w:type="dxa"/>
            <w:vAlign w:val="center"/>
          </w:tcPr>
          <w:p w:rsidR="00B27F47" w:rsidRPr="0039111B" w:rsidRDefault="007A5673" w:rsidP="00B91B37">
            <w:pPr>
              <w:jc w:val="right"/>
              <w:rPr>
                <w:b/>
                <w:sz w:val="20"/>
              </w:rPr>
            </w:pPr>
            <w:r>
              <w:rPr>
                <w:b/>
                <w:sz w:val="20"/>
              </w:rPr>
              <w:t>0,27</w:t>
            </w:r>
          </w:p>
        </w:tc>
        <w:tc>
          <w:tcPr>
            <w:tcW w:w="1276" w:type="dxa"/>
            <w:vAlign w:val="center"/>
          </w:tcPr>
          <w:p w:rsidR="00B27F47" w:rsidRPr="0039111B" w:rsidRDefault="007A5673" w:rsidP="00B91B37">
            <w:pPr>
              <w:jc w:val="right"/>
              <w:rPr>
                <w:b/>
                <w:sz w:val="20"/>
              </w:rPr>
            </w:pPr>
            <w:r>
              <w:rPr>
                <w:b/>
                <w:sz w:val="20"/>
              </w:rPr>
              <w:t>197,10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25</w:t>
            </w:r>
          </w:p>
        </w:tc>
        <w:tc>
          <w:tcPr>
            <w:tcW w:w="832" w:type="dxa"/>
            <w:vAlign w:val="center"/>
          </w:tcPr>
          <w:p w:rsidR="00B27F47" w:rsidRPr="0039111B" w:rsidRDefault="00B27F47" w:rsidP="00B91B37">
            <w:pPr>
              <w:jc w:val="right"/>
              <w:rPr>
                <w:sz w:val="20"/>
              </w:rPr>
            </w:pPr>
            <w:r w:rsidRPr="0039111B">
              <w:rPr>
                <w:sz w:val="20"/>
              </w:rPr>
              <w:t>120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rPr>
                <w:bCs w:val="0"/>
                <w:sz w:val="20"/>
              </w:rPr>
            </w:pPr>
            <w:r w:rsidRPr="0039111B">
              <w:rPr>
                <w:bCs w:val="0"/>
                <w:sz w:val="20"/>
              </w:rPr>
              <w:t xml:space="preserve">Caneta corretiva – </w:t>
            </w:r>
            <w:proofErr w:type="gramStart"/>
            <w:r w:rsidRPr="0039111B">
              <w:rPr>
                <w:bCs w:val="0"/>
                <w:sz w:val="20"/>
              </w:rPr>
              <w:t>8</w:t>
            </w:r>
            <w:proofErr w:type="gramEnd"/>
            <w:r w:rsidRPr="0039111B">
              <w:rPr>
                <w:bCs w:val="0"/>
                <w:sz w:val="20"/>
              </w:rPr>
              <w:t xml:space="preserve"> ml – secagem rápida – atóxica – corrige </w:t>
            </w:r>
            <w:r w:rsidRPr="0039111B">
              <w:rPr>
                <w:sz w:val="20"/>
              </w:rPr>
              <w:t xml:space="preserve">fotocópia, fax, impressão de computador e tinta de esferográfica, caneta de ponta porosa, </w:t>
            </w:r>
            <w:proofErr w:type="spellStart"/>
            <w:r w:rsidRPr="0039111B">
              <w:rPr>
                <w:i/>
                <w:sz w:val="20"/>
              </w:rPr>
              <w:t>roller</w:t>
            </w:r>
            <w:proofErr w:type="spellEnd"/>
            <w:r w:rsidRPr="0039111B">
              <w:rPr>
                <w:i/>
                <w:sz w:val="20"/>
              </w:rPr>
              <w:t xml:space="preserve"> </w:t>
            </w:r>
            <w:proofErr w:type="spellStart"/>
            <w:r w:rsidRPr="0039111B">
              <w:rPr>
                <w:i/>
                <w:sz w:val="20"/>
              </w:rPr>
              <w:t>ball</w:t>
            </w:r>
            <w:proofErr w:type="spellEnd"/>
            <w:r w:rsidRPr="0039111B">
              <w:rPr>
                <w:sz w:val="20"/>
              </w:rPr>
              <w:t xml:space="preserve"> e destaca-texto.</w:t>
            </w:r>
          </w:p>
        </w:tc>
        <w:tc>
          <w:tcPr>
            <w:tcW w:w="1134" w:type="dxa"/>
            <w:vAlign w:val="center"/>
          </w:tcPr>
          <w:p w:rsidR="00B27F47" w:rsidRPr="0039111B" w:rsidRDefault="007A5673" w:rsidP="00B91B37">
            <w:pPr>
              <w:rPr>
                <w:b/>
                <w:sz w:val="20"/>
              </w:rPr>
            </w:pPr>
            <w:r>
              <w:rPr>
                <w:b/>
                <w:sz w:val="20"/>
              </w:rPr>
              <w:t>MASTERPRINT</w:t>
            </w:r>
          </w:p>
        </w:tc>
        <w:tc>
          <w:tcPr>
            <w:tcW w:w="1417" w:type="dxa"/>
            <w:vAlign w:val="center"/>
          </w:tcPr>
          <w:p w:rsidR="00B27F47" w:rsidRPr="0039111B" w:rsidRDefault="007A5673" w:rsidP="00B91B37">
            <w:pPr>
              <w:jc w:val="right"/>
              <w:rPr>
                <w:b/>
                <w:sz w:val="20"/>
              </w:rPr>
            </w:pPr>
            <w:r>
              <w:rPr>
                <w:b/>
                <w:sz w:val="20"/>
              </w:rPr>
              <w:t>2,56</w:t>
            </w:r>
          </w:p>
        </w:tc>
        <w:tc>
          <w:tcPr>
            <w:tcW w:w="1276" w:type="dxa"/>
            <w:vAlign w:val="center"/>
          </w:tcPr>
          <w:p w:rsidR="00B27F47" w:rsidRPr="0039111B" w:rsidRDefault="007A5673" w:rsidP="00B91B37">
            <w:pPr>
              <w:jc w:val="right"/>
              <w:rPr>
                <w:b/>
                <w:sz w:val="20"/>
              </w:rPr>
            </w:pPr>
            <w:r>
              <w:rPr>
                <w:b/>
                <w:sz w:val="20"/>
              </w:rPr>
              <w:t>307,20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lastRenderedPageBreak/>
              <w:t>27</w:t>
            </w:r>
          </w:p>
        </w:tc>
        <w:tc>
          <w:tcPr>
            <w:tcW w:w="832" w:type="dxa"/>
            <w:vAlign w:val="center"/>
          </w:tcPr>
          <w:p w:rsidR="00B27F47" w:rsidRPr="0039111B" w:rsidRDefault="00B27F47" w:rsidP="00B91B37">
            <w:pPr>
              <w:jc w:val="right"/>
              <w:rPr>
                <w:sz w:val="20"/>
              </w:rPr>
            </w:pPr>
            <w:r w:rsidRPr="0039111B">
              <w:rPr>
                <w:sz w:val="20"/>
              </w:rPr>
              <w:t>110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Caneta gel – brilhante - fluxo contínuo – ponta de 0,5 mm</w:t>
            </w:r>
          </w:p>
        </w:tc>
        <w:tc>
          <w:tcPr>
            <w:tcW w:w="1134" w:type="dxa"/>
            <w:vAlign w:val="center"/>
          </w:tcPr>
          <w:p w:rsidR="00B27F47" w:rsidRPr="0039111B" w:rsidRDefault="001B56DD" w:rsidP="00B91B37">
            <w:pPr>
              <w:rPr>
                <w:b/>
                <w:sz w:val="20"/>
              </w:rPr>
            </w:pPr>
            <w:r>
              <w:rPr>
                <w:b/>
                <w:sz w:val="20"/>
              </w:rPr>
              <w:t>TRIS</w:t>
            </w:r>
          </w:p>
        </w:tc>
        <w:tc>
          <w:tcPr>
            <w:tcW w:w="1417" w:type="dxa"/>
            <w:vAlign w:val="center"/>
          </w:tcPr>
          <w:p w:rsidR="00B27F47" w:rsidRPr="0039111B" w:rsidRDefault="001B56DD" w:rsidP="00B91B37">
            <w:pPr>
              <w:jc w:val="right"/>
              <w:rPr>
                <w:b/>
                <w:sz w:val="20"/>
              </w:rPr>
            </w:pPr>
            <w:r>
              <w:rPr>
                <w:b/>
                <w:sz w:val="20"/>
              </w:rPr>
              <w:t>2,20</w:t>
            </w:r>
          </w:p>
        </w:tc>
        <w:tc>
          <w:tcPr>
            <w:tcW w:w="1276" w:type="dxa"/>
            <w:vAlign w:val="center"/>
          </w:tcPr>
          <w:p w:rsidR="00B27F47" w:rsidRPr="0039111B" w:rsidRDefault="001B56DD" w:rsidP="00B91B37">
            <w:pPr>
              <w:jc w:val="right"/>
              <w:rPr>
                <w:b/>
                <w:sz w:val="20"/>
              </w:rPr>
            </w:pPr>
            <w:r>
              <w:rPr>
                <w:b/>
                <w:sz w:val="20"/>
              </w:rPr>
              <w:t>242,00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30</w:t>
            </w:r>
          </w:p>
        </w:tc>
        <w:tc>
          <w:tcPr>
            <w:tcW w:w="832" w:type="dxa"/>
            <w:vAlign w:val="center"/>
          </w:tcPr>
          <w:p w:rsidR="00B27F47" w:rsidRPr="0039111B" w:rsidRDefault="00B27F47" w:rsidP="00B91B37">
            <w:pPr>
              <w:jc w:val="right"/>
              <w:rPr>
                <w:sz w:val="20"/>
              </w:rPr>
            </w:pPr>
            <w:r w:rsidRPr="0039111B">
              <w:rPr>
                <w:sz w:val="20"/>
              </w:rPr>
              <w:t>220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s-ES_tradnl"/>
              </w:rPr>
            </w:pPr>
            <w:r w:rsidRPr="0039111B">
              <w:rPr>
                <w:sz w:val="20"/>
              </w:rPr>
              <w:t xml:space="preserve">CD </w:t>
            </w:r>
            <w:proofErr w:type="spellStart"/>
            <w:r w:rsidRPr="0039111B">
              <w:rPr>
                <w:sz w:val="20"/>
              </w:rPr>
              <w:t>gravável</w:t>
            </w:r>
            <w:proofErr w:type="spellEnd"/>
            <w:r w:rsidRPr="0039111B">
              <w:rPr>
                <w:sz w:val="20"/>
              </w:rPr>
              <w:t xml:space="preserve"> - 80 minutos - 700 MB – com capa</w:t>
            </w:r>
          </w:p>
        </w:tc>
        <w:tc>
          <w:tcPr>
            <w:tcW w:w="1134" w:type="dxa"/>
            <w:vAlign w:val="center"/>
          </w:tcPr>
          <w:p w:rsidR="00B27F47" w:rsidRPr="0039111B" w:rsidRDefault="001B56DD" w:rsidP="00B91B37">
            <w:pPr>
              <w:rPr>
                <w:b/>
                <w:sz w:val="20"/>
              </w:rPr>
            </w:pPr>
            <w:r>
              <w:rPr>
                <w:b/>
                <w:sz w:val="20"/>
              </w:rPr>
              <w:t>MULTILASER</w:t>
            </w:r>
          </w:p>
        </w:tc>
        <w:tc>
          <w:tcPr>
            <w:tcW w:w="1417" w:type="dxa"/>
            <w:vAlign w:val="center"/>
          </w:tcPr>
          <w:p w:rsidR="00B27F47" w:rsidRPr="0039111B" w:rsidRDefault="001B56DD" w:rsidP="00B91B37">
            <w:pPr>
              <w:jc w:val="right"/>
              <w:rPr>
                <w:b/>
                <w:sz w:val="20"/>
              </w:rPr>
            </w:pPr>
            <w:r>
              <w:rPr>
                <w:b/>
                <w:sz w:val="20"/>
              </w:rPr>
              <w:t>0,71</w:t>
            </w:r>
          </w:p>
        </w:tc>
        <w:tc>
          <w:tcPr>
            <w:tcW w:w="1276" w:type="dxa"/>
            <w:vAlign w:val="center"/>
          </w:tcPr>
          <w:p w:rsidR="00B27F47" w:rsidRPr="0039111B" w:rsidRDefault="001B56DD" w:rsidP="00B91B37">
            <w:pPr>
              <w:jc w:val="right"/>
              <w:rPr>
                <w:b/>
                <w:sz w:val="20"/>
              </w:rPr>
            </w:pPr>
            <w:r>
              <w:rPr>
                <w:b/>
                <w:sz w:val="20"/>
              </w:rPr>
              <w:t>156,20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40</w:t>
            </w:r>
          </w:p>
        </w:tc>
        <w:tc>
          <w:tcPr>
            <w:tcW w:w="832" w:type="dxa"/>
            <w:vAlign w:val="center"/>
          </w:tcPr>
          <w:p w:rsidR="00B27F47" w:rsidRPr="0039111B" w:rsidRDefault="00B27F47" w:rsidP="00B91B37">
            <w:pPr>
              <w:jc w:val="right"/>
              <w:rPr>
                <w:sz w:val="20"/>
              </w:rPr>
            </w:pPr>
            <w:r w:rsidRPr="0039111B">
              <w:rPr>
                <w:sz w:val="20"/>
              </w:rPr>
              <w:t>690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tb</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Cola em bastão não tóxica – mínimo 35 </w:t>
            </w:r>
            <w:proofErr w:type="spellStart"/>
            <w:proofErr w:type="gramStart"/>
            <w:r w:rsidRPr="0039111B">
              <w:rPr>
                <w:sz w:val="20"/>
              </w:rPr>
              <w:t>gr</w:t>
            </w:r>
            <w:proofErr w:type="spellEnd"/>
            <w:proofErr w:type="gramEnd"/>
          </w:p>
        </w:tc>
        <w:tc>
          <w:tcPr>
            <w:tcW w:w="1134" w:type="dxa"/>
            <w:vAlign w:val="center"/>
          </w:tcPr>
          <w:p w:rsidR="00B27F47" w:rsidRPr="0039111B" w:rsidRDefault="001B56DD" w:rsidP="00B91B37">
            <w:pPr>
              <w:rPr>
                <w:b/>
                <w:sz w:val="20"/>
              </w:rPr>
            </w:pPr>
            <w:r>
              <w:rPr>
                <w:b/>
                <w:sz w:val="20"/>
              </w:rPr>
              <w:t>BRW</w:t>
            </w:r>
          </w:p>
        </w:tc>
        <w:tc>
          <w:tcPr>
            <w:tcW w:w="1417" w:type="dxa"/>
            <w:vAlign w:val="center"/>
          </w:tcPr>
          <w:p w:rsidR="00B27F47" w:rsidRPr="0039111B" w:rsidRDefault="001B56DD" w:rsidP="00B91B37">
            <w:pPr>
              <w:jc w:val="right"/>
              <w:rPr>
                <w:b/>
                <w:sz w:val="20"/>
              </w:rPr>
            </w:pPr>
            <w:r>
              <w:rPr>
                <w:b/>
                <w:sz w:val="20"/>
              </w:rPr>
              <w:t>1,84</w:t>
            </w:r>
          </w:p>
        </w:tc>
        <w:tc>
          <w:tcPr>
            <w:tcW w:w="1276" w:type="dxa"/>
            <w:vAlign w:val="center"/>
          </w:tcPr>
          <w:p w:rsidR="00B27F47" w:rsidRPr="0039111B" w:rsidRDefault="001B56DD" w:rsidP="00B91B37">
            <w:pPr>
              <w:jc w:val="right"/>
              <w:rPr>
                <w:b/>
                <w:sz w:val="20"/>
              </w:rPr>
            </w:pPr>
            <w:r>
              <w:rPr>
                <w:b/>
                <w:sz w:val="20"/>
              </w:rPr>
              <w:t>1.269,60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70</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pStyle w:val="Ttulo1"/>
              <w:widowControl w:val="0"/>
              <w:tabs>
                <w:tab w:val="left" w:pos="0"/>
              </w:tabs>
              <w:snapToGrid w:val="0"/>
              <w:rPr>
                <w:rFonts w:cs="Arial"/>
                <w:b w:val="0"/>
                <w:sz w:val="20"/>
              </w:rPr>
            </w:pPr>
            <w:proofErr w:type="spellStart"/>
            <w:proofErr w:type="gramStart"/>
            <w:r w:rsidRPr="0039111B">
              <w:rPr>
                <w:rFonts w:cs="Arial"/>
                <w:b w:val="0"/>
                <w:sz w:val="20"/>
              </w:rPr>
              <w:t>rl</w:t>
            </w:r>
            <w:proofErr w:type="spellEnd"/>
            <w:proofErr w:type="gramEnd"/>
          </w:p>
        </w:tc>
        <w:tc>
          <w:tcPr>
            <w:tcW w:w="3544" w:type="dxa"/>
            <w:vAlign w:val="center"/>
          </w:tcPr>
          <w:p w:rsidR="00B27F47" w:rsidRPr="0039111B" w:rsidRDefault="00B27F47" w:rsidP="00B91B37">
            <w:pPr>
              <w:snapToGrid w:val="0"/>
              <w:rPr>
                <w:rFonts w:cs="Tahoma"/>
                <w:sz w:val="20"/>
              </w:rPr>
            </w:pPr>
            <w:r w:rsidRPr="0039111B">
              <w:rPr>
                <w:rFonts w:cs="Tahoma"/>
                <w:sz w:val="20"/>
              </w:rPr>
              <w:t>Fita para impressora LX-300+II</w:t>
            </w:r>
          </w:p>
        </w:tc>
        <w:tc>
          <w:tcPr>
            <w:tcW w:w="1134" w:type="dxa"/>
            <w:vAlign w:val="center"/>
          </w:tcPr>
          <w:p w:rsidR="00B27F47" w:rsidRPr="0039111B" w:rsidRDefault="001B56DD" w:rsidP="00B91B37">
            <w:pPr>
              <w:rPr>
                <w:b/>
                <w:sz w:val="20"/>
              </w:rPr>
            </w:pPr>
            <w:r>
              <w:rPr>
                <w:b/>
                <w:sz w:val="20"/>
              </w:rPr>
              <w:t>MASTERPRINT</w:t>
            </w:r>
          </w:p>
        </w:tc>
        <w:tc>
          <w:tcPr>
            <w:tcW w:w="1417" w:type="dxa"/>
            <w:vAlign w:val="center"/>
          </w:tcPr>
          <w:p w:rsidR="00B27F47" w:rsidRPr="0039111B" w:rsidRDefault="001B56DD" w:rsidP="00B91B37">
            <w:pPr>
              <w:jc w:val="right"/>
              <w:rPr>
                <w:b/>
                <w:sz w:val="20"/>
              </w:rPr>
            </w:pPr>
            <w:r>
              <w:rPr>
                <w:b/>
                <w:sz w:val="20"/>
              </w:rPr>
              <w:t>4,78</w:t>
            </w:r>
          </w:p>
        </w:tc>
        <w:tc>
          <w:tcPr>
            <w:tcW w:w="1276" w:type="dxa"/>
            <w:vAlign w:val="center"/>
          </w:tcPr>
          <w:p w:rsidR="00B27F47" w:rsidRPr="0039111B" w:rsidRDefault="001B56DD" w:rsidP="00B91B37">
            <w:pPr>
              <w:jc w:val="right"/>
              <w:rPr>
                <w:b/>
                <w:sz w:val="20"/>
              </w:rPr>
            </w:pPr>
            <w:r>
              <w:rPr>
                <w:b/>
                <w:sz w:val="20"/>
              </w:rPr>
              <w:t>95,60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78</w:t>
            </w:r>
          </w:p>
        </w:tc>
        <w:tc>
          <w:tcPr>
            <w:tcW w:w="832" w:type="dxa"/>
            <w:vAlign w:val="center"/>
          </w:tcPr>
          <w:p w:rsidR="00B27F47" w:rsidRPr="0039111B" w:rsidRDefault="00B27F47" w:rsidP="00B91B37">
            <w:pPr>
              <w:jc w:val="right"/>
              <w:rPr>
                <w:sz w:val="20"/>
              </w:rPr>
            </w:pPr>
            <w:r w:rsidRPr="0039111B">
              <w:rPr>
                <w:sz w:val="20"/>
              </w:rPr>
              <w:t>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Grampeador de mesa 26/6 – capacidade mínima para 100 grampos – base de aproximadamente 12 cm – capacidade mínima para grampear até 15 folhas de 75gr.</w:t>
            </w:r>
          </w:p>
        </w:tc>
        <w:tc>
          <w:tcPr>
            <w:tcW w:w="1134" w:type="dxa"/>
            <w:vAlign w:val="center"/>
          </w:tcPr>
          <w:p w:rsidR="00B27F47" w:rsidRPr="0039111B" w:rsidRDefault="001B56DD" w:rsidP="00B91B37">
            <w:pPr>
              <w:rPr>
                <w:b/>
                <w:sz w:val="20"/>
              </w:rPr>
            </w:pPr>
            <w:r>
              <w:rPr>
                <w:b/>
                <w:sz w:val="20"/>
              </w:rPr>
              <w:t>MASTERPRINT</w:t>
            </w:r>
          </w:p>
        </w:tc>
        <w:tc>
          <w:tcPr>
            <w:tcW w:w="1417" w:type="dxa"/>
            <w:vAlign w:val="center"/>
          </w:tcPr>
          <w:p w:rsidR="00B27F47" w:rsidRPr="0039111B" w:rsidRDefault="001B56DD" w:rsidP="00B91B37">
            <w:pPr>
              <w:jc w:val="right"/>
              <w:rPr>
                <w:b/>
                <w:sz w:val="20"/>
              </w:rPr>
            </w:pPr>
            <w:r>
              <w:rPr>
                <w:b/>
                <w:sz w:val="20"/>
              </w:rPr>
              <w:t>7,76</w:t>
            </w:r>
          </w:p>
        </w:tc>
        <w:tc>
          <w:tcPr>
            <w:tcW w:w="1276" w:type="dxa"/>
            <w:vAlign w:val="center"/>
          </w:tcPr>
          <w:p w:rsidR="00B27F47" w:rsidRPr="0039111B" w:rsidRDefault="001B56DD" w:rsidP="00B91B37">
            <w:pPr>
              <w:jc w:val="right"/>
              <w:rPr>
                <w:b/>
                <w:sz w:val="20"/>
              </w:rPr>
            </w:pPr>
            <w:r>
              <w:rPr>
                <w:b/>
                <w:sz w:val="20"/>
              </w:rPr>
              <w:t>1.552,00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111</w:t>
            </w:r>
          </w:p>
        </w:tc>
        <w:tc>
          <w:tcPr>
            <w:tcW w:w="832" w:type="dxa"/>
            <w:vAlign w:val="center"/>
          </w:tcPr>
          <w:p w:rsidR="00B27F47" w:rsidRPr="0039111B" w:rsidRDefault="00B27F47" w:rsidP="00B91B37">
            <w:pPr>
              <w:jc w:val="right"/>
              <w:rPr>
                <w:sz w:val="20"/>
              </w:rPr>
            </w:pPr>
            <w:r w:rsidRPr="0039111B">
              <w:rPr>
                <w:sz w:val="20"/>
              </w:rPr>
              <w:t>1.000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fls</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Papel manteiga A4</w:t>
            </w:r>
          </w:p>
        </w:tc>
        <w:tc>
          <w:tcPr>
            <w:tcW w:w="1134" w:type="dxa"/>
            <w:vAlign w:val="center"/>
          </w:tcPr>
          <w:p w:rsidR="00B27F47" w:rsidRPr="0039111B" w:rsidRDefault="00DB71B5" w:rsidP="00B91B37">
            <w:pPr>
              <w:rPr>
                <w:b/>
                <w:sz w:val="20"/>
              </w:rPr>
            </w:pPr>
            <w:r>
              <w:rPr>
                <w:b/>
                <w:sz w:val="20"/>
              </w:rPr>
              <w:t>VISITEX</w:t>
            </w:r>
          </w:p>
        </w:tc>
        <w:tc>
          <w:tcPr>
            <w:tcW w:w="1417" w:type="dxa"/>
            <w:vAlign w:val="center"/>
          </w:tcPr>
          <w:p w:rsidR="00B27F47" w:rsidRPr="0039111B" w:rsidRDefault="00DB71B5" w:rsidP="00B91B37">
            <w:pPr>
              <w:jc w:val="right"/>
              <w:rPr>
                <w:b/>
                <w:sz w:val="20"/>
              </w:rPr>
            </w:pPr>
            <w:r>
              <w:rPr>
                <w:b/>
                <w:sz w:val="20"/>
              </w:rPr>
              <w:t>0,27</w:t>
            </w:r>
          </w:p>
        </w:tc>
        <w:tc>
          <w:tcPr>
            <w:tcW w:w="1276" w:type="dxa"/>
            <w:vAlign w:val="center"/>
          </w:tcPr>
          <w:p w:rsidR="00B27F47" w:rsidRPr="0039111B" w:rsidRDefault="00DB71B5" w:rsidP="00B91B37">
            <w:pPr>
              <w:jc w:val="right"/>
              <w:rPr>
                <w:b/>
                <w:sz w:val="20"/>
              </w:rPr>
            </w:pPr>
            <w:r>
              <w:rPr>
                <w:b/>
                <w:sz w:val="20"/>
              </w:rPr>
              <w:t>270,00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132</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Pilha AA – recarregável – cartela com 02 unidades</w:t>
            </w:r>
          </w:p>
        </w:tc>
        <w:tc>
          <w:tcPr>
            <w:tcW w:w="1134" w:type="dxa"/>
            <w:vAlign w:val="center"/>
          </w:tcPr>
          <w:p w:rsidR="00B27F47" w:rsidRPr="0039111B" w:rsidRDefault="00CB2B6A" w:rsidP="00B91B37">
            <w:pPr>
              <w:rPr>
                <w:b/>
                <w:sz w:val="20"/>
              </w:rPr>
            </w:pPr>
            <w:r>
              <w:rPr>
                <w:b/>
                <w:sz w:val="20"/>
              </w:rPr>
              <w:t>ELGIN</w:t>
            </w:r>
          </w:p>
        </w:tc>
        <w:tc>
          <w:tcPr>
            <w:tcW w:w="1417" w:type="dxa"/>
            <w:vAlign w:val="center"/>
          </w:tcPr>
          <w:p w:rsidR="00B27F47" w:rsidRPr="0039111B" w:rsidRDefault="00CB2B6A" w:rsidP="00B91B37">
            <w:pPr>
              <w:jc w:val="right"/>
              <w:rPr>
                <w:b/>
                <w:sz w:val="20"/>
              </w:rPr>
            </w:pPr>
            <w:r>
              <w:rPr>
                <w:b/>
                <w:sz w:val="20"/>
              </w:rPr>
              <w:t>11,20</w:t>
            </w:r>
          </w:p>
        </w:tc>
        <w:tc>
          <w:tcPr>
            <w:tcW w:w="1276" w:type="dxa"/>
            <w:vAlign w:val="center"/>
          </w:tcPr>
          <w:p w:rsidR="00B27F47" w:rsidRPr="0039111B" w:rsidRDefault="00CB2B6A" w:rsidP="00B91B37">
            <w:pPr>
              <w:jc w:val="right"/>
              <w:rPr>
                <w:b/>
                <w:sz w:val="20"/>
              </w:rPr>
            </w:pPr>
            <w:r>
              <w:rPr>
                <w:b/>
                <w:sz w:val="20"/>
              </w:rPr>
              <w:t>112,00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154</w:t>
            </w:r>
          </w:p>
        </w:tc>
        <w:tc>
          <w:tcPr>
            <w:tcW w:w="832" w:type="dxa"/>
            <w:vAlign w:val="center"/>
          </w:tcPr>
          <w:p w:rsidR="00B27F47" w:rsidRPr="0039111B" w:rsidRDefault="00B27F47" w:rsidP="00B91B37">
            <w:pPr>
              <w:jc w:val="right"/>
              <w:rPr>
                <w:sz w:val="20"/>
              </w:rPr>
            </w:pPr>
            <w:r w:rsidRPr="0039111B">
              <w:rPr>
                <w:sz w:val="20"/>
              </w:rPr>
              <w:t>2.060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pte</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Tinta guache, atóxica, a base de resina vegetal – pote de 250 ml – diversas cores - c</w:t>
            </w:r>
            <w:r w:rsidRPr="0039111B">
              <w:rPr>
                <w:sz w:val="20"/>
                <w:lang w:val="it-IT"/>
              </w:rPr>
              <w:t xml:space="preserve">omposição: resina, água, pigmentos, carga e conservante tipo </w:t>
            </w:r>
            <w:proofErr w:type="gramStart"/>
            <w:r w:rsidRPr="0039111B">
              <w:rPr>
                <w:sz w:val="20"/>
                <w:lang w:val="it-IT"/>
              </w:rPr>
              <w:t>Benzotiazol</w:t>
            </w:r>
            <w:proofErr w:type="gramEnd"/>
            <w:r w:rsidRPr="0039111B">
              <w:rPr>
                <w:sz w:val="20"/>
                <w:lang w:val="it-IT"/>
              </w:rPr>
              <w:t xml:space="preserve">  </w:t>
            </w:r>
          </w:p>
        </w:tc>
        <w:tc>
          <w:tcPr>
            <w:tcW w:w="1134" w:type="dxa"/>
            <w:vAlign w:val="center"/>
          </w:tcPr>
          <w:p w:rsidR="00B27F47" w:rsidRPr="0039111B" w:rsidRDefault="006E581A" w:rsidP="00B91B37">
            <w:pPr>
              <w:rPr>
                <w:b/>
                <w:sz w:val="20"/>
              </w:rPr>
            </w:pPr>
            <w:r>
              <w:rPr>
                <w:b/>
                <w:sz w:val="20"/>
              </w:rPr>
              <w:t>PIRATININGA</w:t>
            </w:r>
          </w:p>
        </w:tc>
        <w:tc>
          <w:tcPr>
            <w:tcW w:w="1417" w:type="dxa"/>
            <w:vAlign w:val="center"/>
          </w:tcPr>
          <w:p w:rsidR="00B27F47" w:rsidRPr="0039111B" w:rsidRDefault="006E581A" w:rsidP="00B91B37">
            <w:pPr>
              <w:jc w:val="right"/>
              <w:rPr>
                <w:b/>
                <w:sz w:val="20"/>
              </w:rPr>
            </w:pPr>
            <w:r>
              <w:rPr>
                <w:b/>
                <w:sz w:val="20"/>
              </w:rPr>
              <w:t>2,96</w:t>
            </w:r>
          </w:p>
        </w:tc>
        <w:tc>
          <w:tcPr>
            <w:tcW w:w="1276" w:type="dxa"/>
            <w:vAlign w:val="center"/>
          </w:tcPr>
          <w:p w:rsidR="00B27F47" w:rsidRPr="0039111B" w:rsidRDefault="006E581A" w:rsidP="00B91B37">
            <w:pPr>
              <w:jc w:val="right"/>
              <w:rPr>
                <w:b/>
                <w:sz w:val="20"/>
              </w:rPr>
            </w:pPr>
            <w:r>
              <w:rPr>
                <w:b/>
                <w:sz w:val="20"/>
              </w:rPr>
              <w:t>6.097,60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155</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tb</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Tinta para carimbo </w:t>
            </w:r>
            <w:proofErr w:type="spellStart"/>
            <w:proofErr w:type="gramStart"/>
            <w:r w:rsidRPr="0039111B">
              <w:rPr>
                <w:sz w:val="20"/>
              </w:rPr>
              <w:t>auto-entintado</w:t>
            </w:r>
            <w:proofErr w:type="spellEnd"/>
            <w:proofErr w:type="gramEnd"/>
            <w:r w:rsidRPr="0039111B">
              <w:rPr>
                <w:sz w:val="20"/>
              </w:rPr>
              <w:t xml:space="preserve"> (automático) – 28 ml</w:t>
            </w:r>
          </w:p>
        </w:tc>
        <w:tc>
          <w:tcPr>
            <w:tcW w:w="1134" w:type="dxa"/>
            <w:vAlign w:val="center"/>
          </w:tcPr>
          <w:p w:rsidR="00B27F47" w:rsidRPr="0039111B" w:rsidRDefault="006E581A" w:rsidP="00B91B37">
            <w:pPr>
              <w:rPr>
                <w:b/>
                <w:sz w:val="20"/>
              </w:rPr>
            </w:pPr>
            <w:r>
              <w:rPr>
                <w:b/>
                <w:sz w:val="20"/>
              </w:rPr>
              <w:t>RADEX</w:t>
            </w:r>
          </w:p>
        </w:tc>
        <w:tc>
          <w:tcPr>
            <w:tcW w:w="1417" w:type="dxa"/>
            <w:vAlign w:val="center"/>
          </w:tcPr>
          <w:p w:rsidR="00B27F47" w:rsidRPr="0039111B" w:rsidRDefault="006E581A" w:rsidP="00B91B37">
            <w:pPr>
              <w:jc w:val="right"/>
              <w:rPr>
                <w:b/>
                <w:sz w:val="20"/>
              </w:rPr>
            </w:pPr>
            <w:r>
              <w:rPr>
                <w:b/>
                <w:sz w:val="20"/>
              </w:rPr>
              <w:t>4,40</w:t>
            </w:r>
          </w:p>
        </w:tc>
        <w:tc>
          <w:tcPr>
            <w:tcW w:w="1276" w:type="dxa"/>
            <w:vAlign w:val="center"/>
          </w:tcPr>
          <w:p w:rsidR="00B27F47" w:rsidRPr="0039111B" w:rsidRDefault="006E581A" w:rsidP="00B91B37">
            <w:pPr>
              <w:jc w:val="right"/>
              <w:rPr>
                <w:b/>
                <w:sz w:val="20"/>
              </w:rPr>
            </w:pPr>
            <w:r>
              <w:rPr>
                <w:b/>
                <w:sz w:val="20"/>
              </w:rPr>
              <w:t>132,00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158</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tcPr>
          <w:p w:rsidR="00B27F47" w:rsidRPr="0039111B" w:rsidRDefault="00B27F47" w:rsidP="00B91B37">
            <w:pPr>
              <w:snapToGrid w:val="0"/>
              <w:jc w:val="both"/>
              <w:rPr>
                <w:sz w:val="20"/>
              </w:rPr>
            </w:pPr>
            <w:r w:rsidRPr="0039111B">
              <w:rPr>
                <w:sz w:val="20"/>
              </w:rPr>
              <w:t>Cartucho de tinta HP C6625 A – original – 15 ml</w:t>
            </w:r>
          </w:p>
        </w:tc>
        <w:tc>
          <w:tcPr>
            <w:tcW w:w="1134" w:type="dxa"/>
            <w:vAlign w:val="center"/>
          </w:tcPr>
          <w:p w:rsidR="00B27F47" w:rsidRPr="0039111B" w:rsidRDefault="001504DB" w:rsidP="00B91B37">
            <w:pPr>
              <w:rPr>
                <w:b/>
                <w:sz w:val="20"/>
              </w:rPr>
            </w:pPr>
            <w:r>
              <w:rPr>
                <w:b/>
                <w:sz w:val="20"/>
              </w:rPr>
              <w:t>HP</w:t>
            </w:r>
          </w:p>
        </w:tc>
        <w:tc>
          <w:tcPr>
            <w:tcW w:w="1417" w:type="dxa"/>
            <w:vAlign w:val="center"/>
          </w:tcPr>
          <w:p w:rsidR="00B27F47" w:rsidRPr="0039111B" w:rsidRDefault="001504DB" w:rsidP="00B91B37">
            <w:pPr>
              <w:jc w:val="right"/>
              <w:rPr>
                <w:b/>
                <w:sz w:val="20"/>
              </w:rPr>
            </w:pPr>
            <w:r>
              <w:rPr>
                <w:b/>
                <w:sz w:val="20"/>
              </w:rPr>
              <w:t>85,00</w:t>
            </w:r>
          </w:p>
        </w:tc>
        <w:tc>
          <w:tcPr>
            <w:tcW w:w="1276" w:type="dxa"/>
            <w:vAlign w:val="center"/>
          </w:tcPr>
          <w:p w:rsidR="00B27F47" w:rsidRPr="0039111B" w:rsidRDefault="001504DB" w:rsidP="00B91B37">
            <w:pPr>
              <w:jc w:val="right"/>
              <w:rPr>
                <w:b/>
                <w:sz w:val="20"/>
              </w:rPr>
            </w:pPr>
            <w:r>
              <w:rPr>
                <w:b/>
                <w:sz w:val="20"/>
              </w:rPr>
              <w:t>850,00</w:t>
            </w:r>
          </w:p>
        </w:tc>
      </w:tr>
      <w:tr w:rsidR="00B27F47" w:rsidRPr="0039111B" w:rsidTr="008A7A34">
        <w:tc>
          <w:tcPr>
            <w:tcW w:w="694" w:type="dxa"/>
            <w:vAlign w:val="center"/>
          </w:tcPr>
          <w:p w:rsidR="00B27F47" w:rsidRPr="0039111B" w:rsidRDefault="00B27F47" w:rsidP="00B91B37">
            <w:pPr>
              <w:jc w:val="center"/>
              <w:rPr>
                <w:sz w:val="20"/>
              </w:rPr>
            </w:pPr>
            <w:r w:rsidRPr="0039111B">
              <w:rPr>
                <w:sz w:val="20"/>
              </w:rPr>
              <w:t>197</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Toner XEROX M20i - </w:t>
            </w:r>
            <w:r w:rsidRPr="0039111B">
              <w:rPr>
                <w:sz w:val="20"/>
                <w:shd w:val="clear" w:color="auto" w:fill="FFFFFF"/>
              </w:rPr>
              <w:t>106R01047 - original</w:t>
            </w:r>
          </w:p>
        </w:tc>
        <w:tc>
          <w:tcPr>
            <w:tcW w:w="1134" w:type="dxa"/>
            <w:vAlign w:val="center"/>
          </w:tcPr>
          <w:p w:rsidR="00B27F47" w:rsidRPr="0039111B" w:rsidRDefault="00301A44" w:rsidP="00B91B37">
            <w:pPr>
              <w:rPr>
                <w:b/>
                <w:sz w:val="20"/>
              </w:rPr>
            </w:pPr>
            <w:r>
              <w:rPr>
                <w:b/>
                <w:sz w:val="20"/>
              </w:rPr>
              <w:t>XEROX</w:t>
            </w:r>
          </w:p>
        </w:tc>
        <w:tc>
          <w:tcPr>
            <w:tcW w:w="1417" w:type="dxa"/>
            <w:vAlign w:val="center"/>
          </w:tcPr>
          <w:p w:rsidR="00B27F47" w:rsidRPr="0039111B" w:rsidRDefault="00301A44" w:rsidP="00B91B37">
            <w:pPr>
              <w:jc w:val="right"/>
              <w:rPr>
                <w:b/>
                <w:sz w:val="20"/>
              </w:rPr>
            </w:pPr>
            <w:r>
              <w:rPr>
                <w:b/>
                <w:sz w:val="20"/>
              </w:rPr>
              <w:t>149,00</w:t>
            </w:r>
          </w:p>
        </w:tc>
        <w:tc>
          <w:tcPr>
            <w:tcW w:w="1276" w:type="dxa"/>
            <w:vAlign w:val="center"/>
          </w:tcPr>
          <w:p w:rsidR="00B27F47" w:rsidRPr="0039111B" w:rsidRDefault="00301A44" w:rsidP="00B91B37">
            <w:pPr>
              <w:jc w:val="right"/>
              <w:rPr>
                <w:b/>
                <w:sz w:val="20"/>
              </w:rPr>
            </w:pPr>
            <w:r>
              <w:rPr>
                <w:b/>
                <w:sz w:val="20"/>
              </w:rPr>
              <w:t>1.490,00</w:t>
            </w:r>
          </w:p>
        </w:tc>
      </w:tr>
    </w:tbl>
    <w:p w:rsidR="00B27F47" w:rsidRDefault="00B27F47" w:rsidP="00B27F47">
      <w:pPr>
        <w:pStyle w:val="Corpodetexto"/>
        <w:tabs>
          <w:tab w:val="clear" w:pos="708"/>
          <w:tab w:val="clear" w:pos="2270"/>
          <w:tab w:val="clear" w:pos="4294"/>
          <w:tab w:val="left" w:pos="426"/>
        </w:tabs>
        <w:ind w:left="360"/>
        <w:rPr>
          <w:sz w:val="20"/>
        </w:rPr>
      </w:pPr>
    </w:p>
    <w:p w:rsidR="00CD3A04" w:rsidRPr="0039111B" w:rsidRDefault="00CD3A04"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Default="00B27F47" w:rsidP="00B27F47">
      <w:pPr>
        <w:tabs>
          <w:tab w:val="left" w:pos="0"/>
        </w:tabs>
        <w:ind w:left="426" w:hanging="426"/>
        <w:jc w:val="both"/>
        <w:rPr>
          <w:sz w:val="20"/>
        </w:rPr>
      </w:pPr>
    </w:p>
    <w:p w:rsidR="00CD3A04" w:rsidRPr="0039111B" w:rsidRDefault="00CD3A04"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Por ocasião da entrega, a DETENTORA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 xml:space="preserve">Por ocasião do recebimento dos materiais, o </w:t>
      </w:r>
      <w:proofErr w:type="spellStart"/>
      <w:r w:rsidRPr="0039111B">
        <w:rPr>
          <w:sz w:val="20"/>
        </w:rPr>
        <w:t>o</w:t>
      </w:r>
      <w:proofErr w:type="spellEnd"/>
      <w:r w:rsidRPr="0039111B">
        <w:rPr>
          <w:sz w:val="20"/>
        </w:rPr>
        <w:t xml:space="preserve"> órgão requisitante, por intermédio de servidor designado, reserva-se no direito de proceder à inspeção de qualidade dos </w:t>
      </w:r>
      <w:r w:rsidRPr="0039111B">
        <w:rPr>
          <w:sz w:val="20"/>
        </w:rPr>
        <w:lastRenderedPageBreak/>
        <w:t>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9111B">
        <w:rPr>
          <w:sz w:val="20"/>
        </w:rPr>
        <w:t>a</w:t>
      </w:r>
      <w:proofErr w:type="gramEnd"/>
      <w:r w:rsidRPr="0039111B">
        <w:rPr>
          <w:sz w:val="20"/>
        </w:rPr>
        <w:t xml:space="preserve">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Fica estabelecido como limite às adesões por órgãos não participantes do registro de preços o quíntuplo do quantitativo de cada item registrado neste instrumento.</w:t>
      </w:r>
    </w:p>
    <w:p w:rsidR="00B27F47" w:rsidRDefault="00B27F47" w:rsidP="00B27F47">
      <w:pPr>
        <w:pStyle w:val="Corpodetexto"/>
        <w:widowControl/>
        <w:tabs>
          <w:tab w:val="clear" w:pos="708"/>
          <w:tab w:val="clear" w:pos="2270"/>
          <w:tab w:val="clear" w:pos="4294"/>
        </w:tabs>
        <w:rPr>
          <w:sz w:val="20"/>
        </w:rPr>
      </w:pPr>
    </w:p>
    <w:p w:rsidR="00CD3A04" w:rsidRPr="0039111B" w:rsidRDefault="00CD3A04"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325403" w:rsidRDefault="00B27F47" w:rsidP="00325403">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325403"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 xml:space="preserve">Mesmo comprovada </w:t>
      </w:r>
      <w:proofErr w:type="gramStart"/>
      <w:r w:rsidRPr="0039111B">
        <w:rPr>
          <w:sz w:val="20"/>
        </w:rPr>
        <w:t>a</w:t>
      </w:r>
      <w:proofErr w:type="gramEnd"/>
      <w:r w:rsidRPr="0039111B">
        <w:rPr>
          <w:sz w:val="20"/>
        </w:rPr>
        <w:t xml:space="preserve">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Quando o preço registrado tornar-se superior ao preço praticado no mercado por motivo superveniente, o órgão gerenciador convocará os fornecedores para negociarem a </w:t>
      </w:r>
      <w:r w:rsidRPr="0039111B">
        <w:rPr>
          <w:rFonts w:cs="Arial"/>
          <w:sz w:val="20"/>
        </w:rPr>
        <w:lastRenderedPageBreak/>
        <w:t>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procederá à revogação da ata de registro de preços, adotando as medidas cabíveis para obtenção da contratação mais vantajosa.</w:t>
      </w:r>
    </w:p>
    <w:p w:rsidR="00B27F47" w:rsidRDefault="00B27F47" w:rsidP="00B27F47">
      <w:pPr>
        <w:ind w:firstLine="708"/>
        <w:jc w:val="both"/>
        <w:rPr>
          <w:sz w:val="20"/>
        </w:rPr>
      </w:pPr>
    </w:p>
    <w:p w:rsidR="00CD3A04" w:rsidRPr="0039111B" w:rsidRDefault="00CD3A04"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Default="00B27F47" w:rsidP="00B27F47">
      <w:pPr>
        <w:jc w:val="both"/>
        <w:rPr>
          <w:sz w:val="20"/>
        </w:rPr>
      </w:pPr>
    </w:p>
    <w:p w:rsidR="00CD3A04" w:rsidRPr="0039111B" w:rsidRDefault="00CD3A04"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325403"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Default="00B27F47" w:rsidP="00B27F47">
      <w:pPr>
        <w:tabs>
          <w:tab w:val="left" w:pos="0"/>
          <w:tab w:val="left" w:pos="536"/>
          <w:tab w:val="left" w:pos="2270"/>
          <w:tab w:val="left" w:pos="4294"/>
        </w:tabs>
        <w:rPr>
          <w:b/>
          <w:bCs w:val="0"/>
          <w:sz w:val="20"/>
        </w:rPr>
      </w:pPr>
    </w:p>
    <w:p w:rsidR="00CD3A04" w:rsidRPr="0039111B" w:rsidRDefault="00CD3A04"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39111B">
        <w:rPr>
          <w:rFonts w:ascii="Arial" w:hAnsi="Arial" w:cs="Arial"/>
        </w:rPr>
        <w:lastRenderedPageBreak/>
        <w:t>Federal ou Municípios, e será descredenciada nos sistemas de cadastramento de fornecedores, pelo prazo de até 05 (cinco) anos, sem prejuízo das multas previstas no Edital e das demais cominações legais.</w:t>
      </w:r>
    </w:p>
    <w:p w:rsidR="00B27F47"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w:t>
      </w:r>
      <w:proofErr w:type="spellStart"/>
      <w:r w:rsidRPr="0039111B">
        <w:rPr>
          <w:rFonts w:ascii="Arial" w:hAnsi="Arial" w:cs="Arial"/>
        </w:rPr>
        <w:t>cinqüenta</w:t>
      </w:r>
      <w:proofErr w:type="spellEnd"/>
      <w:r w:rsidRPr="0039111B">
        <w:rPr>
          <w:rFonts w:ascii="Arial" w:hAnsi="Arial" w:cs="Arial"/>
        </w:rPr>
        <w:t xml:space="preserve"> reais) por dia de atraso, até o limite de 20% (vinte por cento) do total registrado. </w:t>
      </w:r>
    </w:p>
    <w:p w:rsidR="00CD3A04" w:rsidRPr="0039111B" w:rsidRDefault="00CD3A04" w:rsidP="00CD3A04">
      <w:pPr>
        <w:pStyle w:val="Estilo1"/>
        <w:tabs>
          <w:tab w:val="left" w:pos="426"/>
        </w:tabs>
        <w:spacing w:after="0" w:line="240" w:lineRule="auto"/>
        <w:ind w:left="426"/>
        <w:rPr>
          <w:rFonts w:ascii="Arial" w:hAnsi="Arial" w:cs="Arial"/>
        </w:rPr>
      </w:pPr>
    </w:p>
    <w:p w:rsidR="00B27F47"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CD3A04" w:rsidRPr="00447C8D" w:rsidRDefault="00CD3A04" w:rsidP="00CD3A04">
      <w:pPr>
        <w:tabs>
          <w:tab w:val="left" w:pos="567"/>
        </w:tabs>
        <w:suppressAutoHyphens w:val="0"/>
        <w:ind w:left="567"/>
        <w:jc w:val="both"/>
        <w:rPr>
          <w:sz w:val="20"/>
        </w:rPr>
      </w:pP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Default="00B27F47" w:rsidP="00B27F47">
      <w:pPr>
        <w:ind w:left="525" w:hanging="525"/>
        <w:jc w:val="both"/>
        <w:rPr>
          <w:sz w:val="20"/>
        </w:rPr>
      </w:pPr>
    </w:p>
    <w:p w:rsidR="00CD3A04" w:rsidRPr="0039111B" w:rsidRDefault="00CD3A04"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Default="00B27F47" w:rsidP="00B27F47">
      <w:pPr>
        <w:jc w:val="both"/>
        <w:rPr>
          <w:sz w:val="20"/>
        </w:rPr>
      </w:pPr>
    </w:p>
    <w:p w:rsidR="00CD3A04" w:rsidRPr="0039111B" w:rsidRDefault="00CD3A04"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7"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8"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nas alíneas “a”, “b” e “d” 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CD3A04" w:rsidRPr="00447C8D" w:rsidRDefault="00CD3A04" w:rsidP="00CD3A04">
      <w:pPr>
        <w:widowControl w:val="0"/>
        <w:ind w:left="426"/>
        <w:jc w:val="both"/>
        <w:rPr>
          <w:sz w:val="20"/>
        </w:rPr>
      </w:pPr>
    </w:p>
    <w:p w:rsidR="00B27F47"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CD3A04" w:rsidRDefault="00CD3A04" w:rsidP="00CD3A04">
      <w:pPr>
        <w:pStyle w:val="PargrafodaLista"/>
        <w:rPr>
          <w:sz w:val="20"/>
        </w:rPr>
      </w:pPr>
    </w:p>
    <w:p w:rsidR="00CD3A04" w:rsidRPr="00447C8D" w:rsidRDefault="00CD3A04" w:rsidP="00CD3A04">
      <w:pPr>
        <w:widowControl w:val="0"/>
        <w:ind w:left="426"/>
        <w:jc w:val="both"/>
        <w:rPr>
          <w:sz w:val="20"/>
        </w:rPr>
      </w:pPr>
    </w:p>
    <w:p w:rsidR="00CD3A04" w:rsidRPr="00CD3A04" w:rsidRDefault="00B27F47" w:rsidP="00CD3A04">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Default="00B27F47" w:rsidP="00B27F47">
      <w:pPr>
        <w:tabs>
          <w:tab w:val="left" w:pos="1134"/>
        </w:tabs>
        <w:jc w:val="both"/>
        <w:rPr>
          <w:sz w:val="20"/>
        </w:rPr>
      </w:pPr>
    </w:p>
    <w:p w:rsidR="00CD3A04" w:rsidRPr="0039111B" w:rsidRDefault="00CD3A04"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Default="00B27F47" w:rsidP="00B27F47">
      <w:pPr>
        <w:pStyle w:val="Corpodetexto21"/>
        <w:tabs>
          <w:tab w:val="left" w:pos="0"/>
        </w:tabs>
        <w:rPr>
          <w:sz w:val="20"/>
          <w:szCs w:val="20"/>
        </w:rPr>
      </w:pPr>
    </w:p>
    <w:p w:rsidR="00CD3A04" w:rsidRPr="0039111B" w:rsidRDefault="00CD3A04"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lastRenderedPageBreak/>
        <w:t>E, por estarem acordes, firmam o presente instrumento, juntamente com as testemunhas, em 04 (quatro) vias de igual teor, para todos os efeitos de direito.</w:t>
      </w:r>
    </w:p>
    <w:p w:rsidR="00B27F47" w:rsidRDefault="00B27F47" w:rsidP="00B27F47">
      <w:pPr>
        <w:pStyle w:val="Corpodetexto21"/>
        <w:tabs>
          <w:tab w:val="left" w:pos="0"/>
        </w:tabs>
        <w:rPr>
          <w:sz w:val="20"/>
          <w:szCs w:val="20"/>
        </w:rPr>
      </w:pPr>
    </w:p>
    <w:p w:rsidR="00CD3A04" w:rsidRPr="0039111B" w:rsidRDefault="00CD3A04"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A71EB5" w:rsidP="00B27F47">
      <w:pPr>
        <w:tabs>
          <w:tab w:val="left" w:pos="1134"/>
        </w:tabs>
        <w:jc w:val="center"/>
        <w:rPr>
          <w:sz w:val="20"/>
        </w:rPr>
      </w:pPr>
      <w:proofErr w:type="spellStart"/>
      <w:r>
        <w:rPr>
          <w:sz w:val="20"/>
        </w:rPr>
        <w:t>L.A.</w:t>
      </w:r>
      <w:proofErr w:type="spellEnd"/>
      <w:r>
        <w:rPr>
          <w:sz w:val="20"/>
        </w:rPr>
        <w:t xml:space="preserve"> CN INFORMATICA LTDA-ME</w:t>
      </w:r>
    </w:p>
    <w:p w:rsidR="00A71EB5" w:rsidRDefault="00A71EB5" w:rsidP="00B27F47">
      <w:pPr>
        <w:tabs>
          <w:tab w:val="left" w:pos="1134"/>
        </w:tabs>
        <w:jc w:val="center"/>
        <w:rPr>
          <w:sz w:val="20"/>
        </w:rPr>
      </w:pPr>
      <w:r>
        <w:rPr>
          <w:sz w:val="20"/>
        </w:rPr>
        <w:t>ANGELO MATOS DA CAS</w:t>
      </w:r>
    </w:p>
    <w:p w:rsidR="00A71EB5" w:rsidRPr="0039111B" w:rsidRDefault="00A71EB5" w:rsidP="00B27F47">
      <w:pPr>
        <w:tabs>
          <w:tab w:val="left" w:pos="1134"/>
        </w:tabs>
        <w:jc w:val="center"/>
        <w:rPr>
          <w:sz w:val="20"/>
        </w:rPr>
      </w:pP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F47"/>
    <w:rsid w:val="00015400"/>
    <w:rsid w:val="00076DDC"/>
    <w:rsid w:val="000931F4"/>
    <w:rsid w:val="000A08DC"/>
    <w:rsid w:val="000C09B6"/>
    <w:rsid w:val="000C4055"/>
    <w:rsid w:val="000C415F"/>
    <w:rsid w:val="000D73B2"/>
    <w:rsid w:val="00110429"/>
    <w:rsid w:val="001173EE"/>
    <w:rsid w:val="00135678"/>
    <w:rsid w:val="001504DB"/>
    <w:rsid w:val="001B56DD"/>
    <w:rsid w:val="001D1757"/>
    <w:rsid w:val="00215F35"/>
    <w:rsid w:val="00224EA4"/>
    <w:rsid w:val="00246311"/>
    <w:rsid w:val="002A34A2"/>
    <w:rsid w:val="002A7D60"/>
    <w:rsid w:val="002C34BB"/>
    <w:rsid w:val="00301A44"/>
    <w:rsid w:val="0031085E"/>
    <w:rsid w:val="00325403"/>
    <w:rsid w:val="00361AF6"/>
    <w:rsid w:val="00375552"/>
    <w:rsid w:val="003A58AC"/>
    <w:rsid w:val="003C2BB6"/>
    <w:rsid w:val="003D6D59"/>
    <w:rsid w:val="00447C8D"/>
    <w:rsid w:val="00451822"/>
    <w:rsid w:val="00481181"/>
    <w:rsid w:val="004C4D59"/>
    <w:rsid w:val="004C7FED"/>
    <w:rsid w:val="00643006"/>
    <w:rsid w:val="00660F6C"/>
    <w:rsid w:val="006E581A"/>
    <w:rsid w:val="006F3A2E"/>
    <w:rsid w:val="0071278B"/>
    <w:rsid w:val="00714ACB"/>
    <w:rsid w:val="00715B85"/>
    <w:rsid w:val="00754845"/>
    <w:rsid w:val="007713A1"/>
    <w:rsid w:val="0079340E"/>
    <w:rsid w:val="0079641C"/>
    <w:rsid w:val="007A5673"/>
    <w:rsid w:val="007B2E8C"/>
    <w:rsid w:val="00810FBE"/>
    <w:rsid w:val="0081133F"/>
    <w:rsid w:val="00891224"/>
    <w:rsid w:val="008A1EE8"/>
    <w:rsid w:val="008A47FE"/>
    <w:rsid w:val="008A7A34"/>
    <w:rsid w:val="008E5053"/>
    <w:rsid w:val="0092043A"/>
    <w:rsid w:val="009623C6"/>
    <w:rsid w:val="00963FF5"/>
    <w:rsid w:val="009A18EF"/>
    <w:rsid w:val="009B5729"/>
    <w:rsid w:val="009D7FC8"/>
    <w:rsid w:val="009F2051"/>
    <w:rsid w:val="00A37263"/>
    <w:rsid w:val="00A71EB5"/>
    <w:rsid w:val="00A73FF0"/>
    <w:rsid w:val="00A81EA5"/>
    <w:rsid w:val="00AA7253"/>
    <w:rsid w:val="00AB61EE"/>
    <w:rsid w:val="00B27F47"/>
    <w:rsid w:val="00B357EE"/>
    <w:rsid w:val="00B426F0"/>
    <w:rsid w:val="00B61320"/>
    <w:rsid w:val="00B919C8"/>
    <w:rsid w:val="00B91B37"/>
    <w:rsid w:val="00BE7F53"/>
    <w:rsid w:val="00C44A15"/>
    <w:rsid w:val="00C77F3C"/>
    <w:rsid w:val="00CB1C54"/>
    <w:rsid w:val="00CB2B6A"/>
    <w:rsid w:val="00CD3A04"/>
    <w:rsid w:val="00D1425D"/>
    <w:rsid w:val="00D73BC3"/>
    <w:rsid w:val="00DB71B5"/>
    <w:rsid w:val="00DF27B5"/>
    <w:rsid w:val="00DF3894"/>
    <w:rsid w:val="00E65F18"/>
    <w:rsid w:val="00EC16B5"/>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B27F47"/>
    <w:pPr>
      <w:tabs>
        <w:tab w:val="center" w:pos="4419"/>
        <w:tab w:val="right" w:pos="8838"/>
      </w:tabs>
    </w:pPr>
  </w:style>
  <w:style w:type="character" w:customStyle="1" w:styleId="RodapChar">
    <w:name w:val="Rodapé Char"/>
    <w:basedOn w:val="Fontepargpadro"/>
    <w:link w:val="Rodap"/>
    <w:semiHidden/>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2578</Words>
  <Characters>13925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2016-06-06T20:54:00Z</dcterms:created>
  <dcterms:modified xsi:type="dcterms:W3CDTF">2016-06-06T21:09:00Z</dcterms:modified>
</cp:coreProperties>
</file>