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681C0B">
        <w:rPr>
          <w:rFonts w:ascii="Arial" w:hAnsi="Arial" w:cs="Arial"/>
          <w:b/>
          <w:sz w:val="20"/>
          <w:szCs w:val="20"/>
        </w:rPr>
        <w:t>13</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proofErr w:type="gramStart"/>
      <w:r w:rsidRPr="0042001D">
        <w:rPr>
          <w:rFonts w:ascii="Arial" w:hAnsi="Arial" w:cs="Arial"/>
          <w:sz w:val="20"/>
          <w:szCs w:val="20"/>
        </w:rPr>
        <w:t xml:space="preserve">  </w:t>
      </w:r>
      <w:proofErr w:type="gramEnd"/>
      <w:r w:rsidRPr="0042001D">
        <w:rPr>
          <w:rFonts w:ascii="Arial" w:hAnsi="Arial" w:cs="Arial"/>
          <w:sz w:val="20"/>
          <w:szCs w:val="20"/>
        </w:rPr>
        <w:t xml:space="preserve">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681C0B" w:rsidP="005E464B">
            <w:pPr>
              <w:autoSpaceDE w:val="0"/>
              <w:autoSpaceDN w:val="0"/>
              <w:adjustRightInd w:val="0"/>
              <w:rPr>
                <w:rFonts w:ascii="Arial" w:hAnsi="Arial" w:cs="Arial"/>
                <w:b/>
                <w:sz w:val="20"/>
                <w:szCs w:val="20"/>
              </w:rPr>
            </w:pPr>
            <w:r>
              <w:rPr>
                <w:rFonts w:ascii="Arial" w:hAnsi="Arial" w:cs="Arial"/>
                <w:b/>
                <w:sz w:val="20"/>
                <w:szCs w:val="20"/>
              </w:rPr>
              <w:t>METROMED COM DE MATERIAL MEDICO</w:t>
            </w:r>
            <w:proofErr w:type="gramStart"/>
            <w:r>
              <w:rPr>
                <w:rFonts w:ascii="Arial" w:hAnsi="Arial" w:cs="Arial"/>
                <w:b/>
                <w:sz w:val="20"/>
                <w:szCs w:val="20"/>
              </w:rPr>
              <w:t xml:space="preserve">  </w:t>
            </w:r>
            <w:proofErr w:type="gramEnd"/>
            <w:r>
              <w:rPr>
                <w:rFonts w:ascii="Arial" w:hAnsi="Arial" w:cs="Arial"/>
                <w:b/>
                <w:sz w:val="20"/>
                <w:szCs w:val="20"/>
              </w:rPr>
              <w:t>HOSP.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681C0B" w:rsidP="005E464B">
            <w:pPr>
              <w:autoSpaceDE w:val="0"/>
              <w:autoSpaceDN w:val="0"/>
              <w:adjustRightInd w:val="0"/>
              <w:rPr>
                <w:rFonts w:ascii="Arial" w:hAnsi="Arial" w:cs="Arial"/>
                <w:b/>
                <w:sz w:val="20"/>
                <w:szCs w:val="20"/>
              </w:rPr>
            </w:pPr>
            <w:r>
              <w:rPr>
                <w:rFonts w:ascii="Arial" w:hAnsi="Arial" w:cs="Arial"/>
                <w:b/>
                <w:sz w:val="20"/>
                <w:szCs w:val="20"/>
              </w:rPr>
              <w:t xml:space="preserve">ESTRADA BOA </w:t>
            </w:r>
            <w:proofErr w:type="gramStart"/>
            <w:r>
              <w:rPr>
                <w:rFonts w:ascii="Arial" w:hAnsi="Arial" w:cs="Arial"/>
                <w:b/>
                <w:sz w:val="20"/>
                <w:szCs w:val="20"/>
              </w:rPr>
              <w:t>ESPERANÇA,</w:t>
            </w:r>
            <w:proofErr w:type="gramEnd"/>
            <w:r>
              <w:rPr>
                <w:rFonts w:ascii="Arial" w:hAnsi="Arial" w:cs="Arial"/>
                <w:b/>
                <w:sz w:val="20"/>
                <w:szCs w:val="20"/>
              </w:rPr>
              <w:t>1918 – B. FUNDO CANOAS – RIO DO SUL/SC – 89.163-920 – FONE: 47-3531-9800</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681C0B" w:rsidP="005E464B">
            <w:pPr>
              <w:autoSpaceDE w:val="0"/>
              <w:autoSpaceDN w:val="0"/>
              <w:adjustRightInd w:val="0"/>
              <w:rPr>
                <w:rFonts w:ascii="Arial" w:hAnsi="Arial" w:cs="Arial"/>
                <w:b/>
                <w:sz w:val="20"/>
                <w:szCs w:val="20"/>
              </w:rPr>
            </w:pPr>
            <w:r>
              <w:rPr>
                <w:rFonts w:ascii="Arial" w:hAnsi="Arial" w:cs="Arial"/>
                <w:b/>
                <w:sz w:val="20"/>
                <w:szCs w:val="20"/>
              </w:rPr>
              <w:t>83.157.032/0001-22</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296FA4" w:rsidP="005E464B">
            <w:pPr>
              <w:autoSpaceDE w:val="0"/>
              <w:autoSpaceDN w:val="0"/>
              <w:adjustRightInd w:val="0"/>
              <w:rPr>
                <w:rFonts w:ascii="Arial" w:hAnsi="Arial" w:cs="Arial"/>
                <w:b/>
                <w:sz w:val="20"/>
                <w:szCs w:val="20"/>
              </w:rPr>
            </w:pPr>
            <w:r>
              <w:rPr>
                <w:rFonts w:ascii="Arial" w:hAnsi="Arial" w:cs="Arial"/>
                <w:b/>
                <w:sz w:val="20"/>
                <w:szCs w:val="20"/>
              </w:rPr>
              <w:t>HELENA MARIA WOITEXEN</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296FA4" w:rsidP="005E464B">
            <w:pPr>
              <w:autoSpaceDE w:val="0"/>
              <w:autoSpaceDN w:val="0"/>
              <w:adjustRightInd w:val="0"/>
              <w:rPr>
                <w:rFonts w:ascii="Arial" w:hAnsi="Arial" w:cs="Arial"/>
                <w:b/>
                <w:sz w:val="20"/>
                <w:szCs w:val="20"/>
              </w:rPr>
            </w:pPr>
            <w:r>
              <w:rPr>
                <w:rFonts w:ascii="Arial" w:hAnsi="Arial" w:cs="Arial"/>
                <w:b/>
                <w:sz w:val="20"/>
                <w:szCs w:val="20"/>
              </w:rPr>
              <w:t>RIO DO SUL/SC</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296FA4" w:rsidP="005E464B">
            <w:pPr>
              <w:autoSpaceDE w:val="0"/>
              <w:autoSpaceDN w:val="0"/>
              <w:adjustRightInd w:val="0"/>
              <w:rPr>
                <w:rFonts w:ascii="Arial" w:hAnsi="Arial" w:cs="Arial"/>
                <w:b/>
                <w:sz w:val="20"/>
                <w:szCs w:val="20"/>
              </w:rPr>
            </w:pPr>
            <w:r>
              <w:rPr>
                <w:rFonts w:ascii="Arial" w:hAnsi="Arial" w:cs="Arial"/>
                <w:b/>
                <w:sz w:val="20"/>
                <w:szCs w:val="20"/>
              </w:rPr>
              <w:t>684.532.649-53</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296FA4" w:rsidP="005E464B">
            <w:pPr>
              <w:autoSpaceDE w:val="0"/>
              <w:autoSpaceDN w:val="0"/>
              <w:adjustRightInd w:val="0"/>
              <w:rPr>
                <w:rFonts w:ascii="Arial" w:hAnsi="Arial" w:cs="Arial"/>
                <w:b/>
                <w:sz w:val="20"/>
                <w:szCs w:val="20"/>
              </w:rPr>
            </w:pPr>
            <w:r>
              <w:rPr>
                <w:rFonts w:ascii="Arial" w:hAnsi="Arial" w:cs="Arial"/>
                <w:b/>
                <w:sz w:val="20"/>
                <w:szCs w:val="20"/>
              </w:rPr>
              <w:t>2.739.100</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559"/>
        <w:gridCol w:w="850"/>
        <w:gridCol w:w="1134"/>
      </w:tblGrid>
      <w:tr w:rsidR="0042001D" w:rsidRPr="0042001D" w:rsidTr="009D2091">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559"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4</w:t>
            </w:r>
            <w:proofErr w:type="gramEnd"/>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Água destilada – bolsa com 250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D2091" w:rsidP="005E464B">
            <w:pPr>
              <w:snapToGrid w:val="0"/>
              <w:rPr>
                <w:rFonts w:ascii="Arial" w:hAnsi="Arial" w:cs="Arial"/>
                <w:sz w:val="20"/>
                <w:szCs w:val="20"/>
                <w:lang w:val="es-ES_tradnl"/>
              </w:rPr>
            </w:pPr>
            <w:r>
              <w:rPr>
                <w:rFonts w:ascii="Arial" w:hAnsi="Arial" w:cs="Arial"/>
                <w:sz w:val="20"/>
                <w:szCs w:val="20"/>
                <w:lang w:val="es-ES_tradnl"/>
              </w:rPr>
              <w:t>HALEXISTAR</w:t>
            </w:r>
          </w:p>
        </w:tc>
        <w:tc>
          <w:tcPr>
            <w:tcW w:w="850" w:type="dxa"/>
            <w:vAlign w:val="center"/>
          </w:tcPr>
          <w:p w:rsidR="0042001D" w:rsidRPr="0042001D" w:rsidRDefault="009D2091" w:rsidP="005E464B">
            <w:pPr>
              <w:snapToGrid w:val="0"/>
              <w:jc w:val="right"/>
              <w:rPr>
                <w:rFonts w:ascii="Arial" w:hAnsi="Arial" w:cs="Arial"/>
                <w:sz w:val="20"/>
                <w:szCs w:val="20"/>
                <w:lang w:val="es-ES_tradnl"/>
              </w:rPr>
            </w:pPr>
            <w:r>
              <w:rPr>
                <w:rFonts w:ascii="Arial" w:hAnsi="Arial" w:cs="Arial"/>
                <w:sz w:val="20"/>
                <w:szCs w:val="20"/>
                <w:lang w:val="es-ES_tradnl"/>
              </w:rPr>
              <w:t>2,28</w:t>
            </w:r>
          </w:p>
        </w:tc>
        <w:tc>
          <w:tcPr>
            <w:tcW w:w="1134" w:type="dxa"/>
            <w:vAlign w:val="center"/>
          </w:tcPr>
          <w:p w:rsidR="0042001D" w:rsidRPr="0042001D" w:rsidRDefault="009D2091" w:rsidP="005E464B">
            <w:pPr>
              <w:snapToGrid w:val="0"/>
              <w:jc w:val="right"/>
              <w:rPr>
                <w:rFonts w:ascii="Arial" w:hAnsi="Arial" w:cs="Arial"/>
                <w:sz w:val="20"/>
                <w:szCs w:val="20"/>
                <w:lang w:val="es-ES_tradnl"/>
              </w:rPr>
            </w:pPr>
            <w:r>
              <w:rPr>
                <w:rFonts w:ascii="Arial" w:hAnsi="Arial" w:cs="Arial"/>
                <w:sz w:val="20"/>
                <w:szCs w:val="20"/>
                <w:lang w:val="es-ES_tradnl"/>
              </w:rPr>
              <w:t>2.280,00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Álcool líquido, concentração 70%, validade mínima de 24 meses a partir da data de entrega. Apresentação: frasco de 1000 ml. </w:t>
            </w:r>
          </w:p>
          <w:p w:rsidR="0042001D" w:rsidRPr="0042001D" w:rsidRDefault="0042001D" w:rsidP="005E464B">
            <w:pPr>
              <w:rPr>
                <w:rFonts w:ascii="Arial" w:hAnsi="Arial" w:cs="Arial"/>
                <w:i/>
                <w:sz w:val="20"/>
                <w:szCs w:val="20"/>
              </w:rPr>
            </w:pPr>
            <w:r w:rsidRPr="0042001D">
              <w:rPr>
                <w:rFonts w:ascii="Arial" w:hAnsi="Arial" w:cs="Arial"/>
                <w:i/>
                <w:sz w:val="20"/>
                <w:szCs w:val="20"/>
              </w:rPr>
              <w:t>Apresentar AFE de saneantes na proposta.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9D2091" w:rsidP="005E464B">
            <w:pPr>
              <w:snapToGrid w:val="0"/>
              <w:rPr>
                <w:rFonts w:ascii="Arial" w:hAnsi="Arial" w:cs="Arial"/>
                <w:sz w:val="20"/>
                <w:szCs w:val="20"/>
                <w:lang w:val="pt-PT"/>
              </w:rPr>
            </w:pPr>
            <w:r>
              <w:rPr>
                <w:rFonts w:ascii="Arial" w:hAnsi="Arial" w:cs="Arial"/>
                <w:sz w:val="20"/>
                <w:szCs w:val="20"/>
                <w:lang w:val="pt-PT"/>
              </w:rPr>
              <w:t>FLOP’S</w:t>
            </w:r>
          </w:p>
        </w:tc>
        <w:tc>
          <w:tcPr>
            <w:tcW w:w="850"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3,33</w:t>
            </w:r>
          </w:p>
        </w:tc>
        <w:tc>
          <w:tcPr>
            <w:tcW w:w="1134"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6.660,00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Algodão hidrófilo em bolas - Com fibras 100% algodão, altamente absorvente. Pacote com 100 gramas.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D2091" w:rsidP="005E464B">
            <w:pPr>
              <w:snapToGrid w:val="0"/>
              <w:rPr>
                <w:rFonts w:ascii="Arial" w:hAnsi="Arial" w:cs="Arial"/>
                <w:sz w:val="20"/>
                <w:szCs w:val="20"/>
                <w:lang w:val="pt-PT"/>
              </w:rPr>
            </w:pPr>
            <w:r>
              <w:rPr>
                <w:rFonts w:ascii="Arial" w:hAnsi="Arial" w:cs="Arial"/>
                <w:sz w:val="20"/>
                <w:szCs w:val="20"/>
                <w:lang w:val="pt-PT"/>
              </w:rPr>
              <w:t>MELHORMED</w:t>
            </w:r>
          </w:p>
        </w:tc>
        <w:tc>
          <w:tcPr>
            <w:tcW w:w="850"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2,39</w:t>
            </w:r>
          </w:p>
        </w:tc>
        <w:tc>
          <w:tcPr>
            <w:tcW w:w="1134"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1.673,00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30</w:t>
            </w:r>
          </w:p>
        </w:tc>
        <w:tc>
          <w:tcPr>
            <w:tcW w:w="4820" w:type="dxa"/>
            <w:vAlign w:val="center"/>
          </w:tcPr>
          <w:p w:rsidR="0042001D" w:rsidRPr="0042001D" w:rsidRDefault="0042001D" w:rsidP="005E464B">
            <w:pPr>
              <w:rPr>
                <w:rFonts w:ascii="Arial" w:hAnsi="Arial" w:cs="Arial"/>
                <w:strike/>
                <w:sz w:val="20"/>
                <w:szCs w:val="20"/>
              </w:rPr>
            </w:pPr>
            <w:r w:rsidRPr="0042001D">
              <w:rPr>
                <w:rFonts w:ascii="Arial" w:hAnsi="Arial" w:cs="Arial"/>
                <w:sz w:val="20"/>
                <w:szCs w:val="20"/>
              </w:rPr>
              <w:t xml:space="preserve">Atadura </w:t>
            </w:r>
            <w:proofErr w:type="spellStart"/>
            <w:r w:rsidRPr="0042001D">
              <w:rPr>
                <w:rFonts w:ascii="Arial" w:hAnsi="Arial" w:cs="Arial"/>
                <w:sz w:val="20"/>
                <w:szCs w:val="20"/>
              </w:rPr>
              <w:t>Crepon</w:t>
            </w:r>
            <w:proofErr w:type="spellEnd"/>
            <w:r w:rsidRPr="0042001D">
              <w:rPr>
                <w:rFonts w:ascii="Arial" w:hAnsi="Arial" w:cs="Arial"/>
                <w:sz w:val="20"/>
                <w:szCs w:val="20"/>
              </w:rPr>
              <w:t>, elástica, porosa, não estéril, 100% algodão, com 13 fios, 15 cm x 4,5 m (isenta de impurezas, alvejante óptico e resíduo de amido). De tecido neutro, macio, com devida elasticidade no sentido longitudinal, inodoro e insípido, com bordas devidamente acabadas, não permitindo que desfiem. Embalada individualmente. Embalagem trazendo externamente os dados de identificação, procedência, número de lote, método, data de fabricação, prazo de validade e número de registro no Ministério da Saúde. Apresentar na proposta registro junto a ANVISA, AFE do fabricante. Observação: Deverá constar na embalagem que o produto atende as normas da ABNT NBR14056. Peso mínimo do rolo deverá ser de 32,7 gramas conforme portaria 106/2003 do INMETRO. Com 12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D2091" w:rsidP="005E464B">
            <w:pPr>
              <w:snapToGrid w:val="0"/>
              <w:rPr>
                <w:rFonts w:ascii="Arial" w:hAnsi="Arial" w:cs="Arial"/>
                <w:sz w:val="20"/>
                <w:szCs w:val="20"/>
                <w:lang w:val="pt-PT"/>
              </w:rPr>
            </w:pPr>
            <w:r>
              <w:rPr>
                <w:rFonts w:ascii="Arial" w:hAnsi="Arial" w:cs="Arial"/>
                <w:sz w:val="20"/>
                <w:szCs w:val="20"/>
                <w:lang w:val="pt-PT"/>
              </w:rPr>
              <w:t>CREMER</w:t>
            </w:r>
          </w:p>
        </w:tc>
        <w:tc>
          <w:tcPr>
            <w:tcW w:w="850"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17,30</w:t>
            </w:r>
          </w:p>
        </w:tc>
        <w:tc>
          <w:tcPr>
            <w:tcW w:w="1134"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8.650,00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31</w:t>
            </w:r>
          </w:p>
        </w:tc>
        <w:tc>
          <w:tcPr>
            <w:tcW w:w="4820" w:type="dxa"/>
            <w:vAlign w:val="center"/>
          </w:tcPr>
          <w:p w:rsidR="0042001D" w:rsidRPr="0042001D" w:rsidRDefault="0042001D" w:rsidP="005E464B">
            <w:pPr>
              <w:rPr>
                <w:rFonts w:ascii="Arial" w:hAnsi="Arial" w:cs="Arial"/>
                <w:strike/>
                <w:sz w:val="20"/>
                <w:szCs w:val="20"/>
              </w:rPr>
            </w:pPr>
            <w:r w:rsidRPr="0042001D">
              <w:rPr>
                <w:rFonts w:ascii="Arial" w:hAnsi="Arial" w:cs="Arial"/>
                <w:sz w:val="20"/>
                <w:szCs w:val="20"/>
              </w:rPr>
              <w:t xml:space="preserve">Atadura </w:t>
            </w:r>
            <w:proofErr w:type="spellStart"/>
            <w:r w:rsidRPr="0042001D">
              <w:rPr>
                <w:rFonts w:ascii="Arial" w:hAnsi="Arial" w:cs="Arial"/>
                <w:sz w:val="20"/>
                <w:szCs w:val="20"/>
              </w:rPr>
              <w:t>Crepon</w:t>
            </w:r>
            <w:proofErr w:type="spellEnd"/>
            <w:r w:rsidRPr="0042001D">
              <w:rPr>
                <w:rFonts w:ascii="Arial" w:hAnsi="Arial" w:cs="Arial"/>
                <w:sz w:val="20"/>
                <w:szCs w:val="20"/>
              </w:rPr>
              <w:t>, elástica, porosa, não estéril, 100% algodão, com 13 fios, 20 cm x 4,5 m (isenta de impurezas, alvejante óptico e resíduo de amido). De tecido neutro, macio, com devida elasticidade no sentido longitudinal, inodoro e insípido, com bordas devidamente acabadas, não permitindo que desfiem. Embalada individualmente. Embalagem trazendo externamente os dados de identificação, procedência, número de lote, método, data de fabricação, prazo de validade e número de registro no Ministério da Saúde. Apresentar na proposta registro junto a ANVISA, AFE do fabricante. Observação: Deverá constar na embalagem que o produto atende as normas da ABNT NBR14056. Peso mínimo do rolo deverá ser de 42,8 gramas conforme portaria 106/2003 do INMETRO. Com 12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D2091" w:rsidP="005E464B">
            <w:pPr>
              <w:snapToGrid w:val="0"/>
              <w:rPr>
                <w:rFonts w:ascii="Arial" w:hAnsi="Arial" w:cs="Arial"/>
                <w:sz w:val="20"/>
                <w:szCs w:val="20"/>
                <w:lang w:val="pt-PT"/>
              </w:rPr>
            </w:pPr>
            <w:r>
              <w:rPr>
                <w:rFonts w:ascii="Arial" w:hAnsi="Arial" w:cs="Arial"/>
                <w:sz w:val="20"/>
                <w:szCs w:val="20"/>
                <w:lang w:val="pt-PT"/>
              </w:rPr>
              <w:t>CREMER</w:t>
            </w:r>
          </w:p>
        </w:tc>
        <w:tc>
          <w:tcPr>
            <w:tcW w:w="850"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20,20</w:t>
            </w:r>
          </w:p>
        </w:tc>
        <w:tc>
          <w:tcPr>
            <w:tcW w:w="1134" w:type="dxa"/>
            <w:vAlign w:val="center"/>
          </w:tcPr>
          <w:p w:rsidR="0042001D" w:rsidRPr="0042001D" w:rsidRDefault="009D2091" w:rsidP="005E464B">
            <w:pPr>
              <w:snapToGrid w:val="0"/>
              <w:jc w:val="right"/>
              <w:rPr>
                <w:rFonts w:ascii="Arial" w:hAnsi="Arial" w:cs="Arial"/>
                <w:sz w:val="20"/>
                <w:szCs w:val="20"/>
                <w:lang w:val="pt-PT"/>
              </w:rPr>
            </w:pPr>
            <w:r>
              <w:rPr>
                <w:rFonts w:ascii="Arial" w:hAnsi="Arial" w:cs="Arial"/>
                <w:sz w:val="20"/>
                <w:szCs w:val="20"/>
                <w:lang w:val="pt-PT"/>
              </w:rPr>
              <w:t>10.100,00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41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Bobina papel grau cirúrgico 30 cm x 100 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rlo</w:t>
            </w:r>
            <w:proofErr w:type="spellEnd"/>
            <w:proofErr w:type="gramEnd"/>
          </w:p>
        </w:tc>
        <w:tc>
          <w:tcPr>
            <w:tcW w:w="1559" w:type="dxa"/>
            <w:vAlign w:val="center"/>
          </w:tcPr>
          <w:p w:rsidR="0042001D" w:rsidRPr="0042001D" w:rsidRDefault="00903AFC" w:rsidP="005E464B">
            <w:pPr>
              <w:snapToGrid w:val="0"/>
              <w:rPr>
                <w:rFonts w:ascii="Arial" w:hAnsi="Arial" w:cs="Arial"/>
                <w:sz w:val="20"/>
                <w:szCs w:val="20"/>
                <w:lang w:val="es-ES_tradnl"/>
              </w:rPr>
            </w:pPr>
            <w:r>
              <w:rPr>
                <w:rFonts w:ascii="Arial" w:hAnsi="Arial" w:cs="Arial"/>
                <w:sz w:val="20"/>
                <w:szCs w:val="20"/>
                <w:lang w:val="es-ES_tradnl"/>
              </w:rPr>
              <w:t>PACK GC</w:t>
            </w:r>
          </w:p>
        </w:tc>
        <w:tc>
          <w:tcPr>
            <w:tcW w:w="850" w:type="dxa"/>
            <w:vAlign w:val="center"/>
          </w:tcPr>
          <w:p w:rsidR="0042001D" w:rsidRPr="0042001D" w:rsidRDefault="00903AFC" w:rsidP="005E464B">
            <w:pPr>
              <w:snapToGrid w:val="0"/>
              <w:jc w:val="right"/>
              <w:rPr>
                <w:rFonts w:ascii="Arial" w:hAnsi="Arial" w:cs="Arial"/>
                <w:sz w:val="20"/>
                <w:szCs w:val="20"/>
                <w:lang w:val="es-ES_tradnl"/>
              </w:rPr>
            </w:pPr>
            <w:r>
              <w:rPr>
                <w:rFonts w:ascii="Arial" w:hAnsi="Arial" w:cs="Arial"/>
                <w:sz w:val="20"/>
                <w:szCs w:val="20"/>
                <w:lang w:val="es-ES_tradnl"/>
              </w:rPr>
              <w:t>105,00</w:t>
            </w:r>
          </w:p>
        </w:tc>
        <w:tc>
          <w:tcPr>
            <w:tcW w:w="1134" w:type="dxa"/>
            <w:vAlign w:val="center"/>
          </w:tcPr>
          <w:p w:rsidR="0042001D" w:rsidRPr="0042001D" w:rsidRDefault="00903AFC" w:rsidP="005E464B">
            <w:pPr>
              <w:snapToGrid w:val="0"/>
              <w:jc w:val="right"/>
              <w:rPr>
                <w:rFonts w:ascii="Arial" w:hAnsi="Arial" w:cs="Arial"/>
                <w:sz w:val="20"/>
                <w:szCs w:val="20"/>
                <w:lang w:val="es-ES_tradnl"/>
              </w:rPr>
            </w:pPr>
            <w:r>
              <w:rPr>
                <w:rFonts w:ascii="Arial" w:hAnsi="Arial" w:cs="Arial"/>
                <w:sz w:val="20"/>
                <w:szCs w:val="20"/>
                <w:lang w:val="es-ES_tradnl"/>
              </w:rPr>
              <w:t>15.750,00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67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Coletor de material </w:t>
            </w:r>
            <w:proofErr w:type="spellStart"/>
            <w:r w:rsidRPr="0042001D">
              <w:rPr>
                <w:rFonts w:ascii="Arial" w:hAnsi="Arial" w:cs="Arial"/>
                <w:sz w:val="20"/>
                <w:szCs w:val="20"/>
              </w:rPr>
              <w:t>perfuro-cortante</w:t>
            </w:r>
            <w:proofErr w:type="spellEnd"/>
            <w:r w:rsidRPr="0042001D">
              <w:rPr>
                <w:rFonts w:ascii="Arial" w:hAnsi="Arial" w:cs="Arial"/>
                <w:sz w:val="20"/>
                <w:szCs w:val="20"/>
              </w:rPr>
              <w:t>, produzido de acordo com a NBR 13853, com revestimento para evitar perfurações e vazamentos. Capacidade 07 litros.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A1DDF" w:rsidP="005E464B">
            <w:pPr>
              <w:snapToGrid w:val="0"/>
              <w:rPr>
                <w:rFonts w:ascii="Arial" w:hAnsi="Arial" w:cs="Arial"/>
                <w:sz w:val="20"/>
                <w:szCs w:val="20"/>
                <w:lang w:val="pt-PT"/>
              </w:rPr>
            </w:pPr>
            <w:r>
              <w:rPr>
                <w:rFonts w:ascii="Arial" w:hAnsi="Arial" w:cs="Arial"/>
                <w:sz w:val="20"/>
                <w:szCs w:val="20"/>
                <w:lang w:val="pt-PT"/>
              </w:rPr>
              <w:t>DESCARBOX</w:t>
            </w:r>
          </w:p>
        </w:tc>
        <w:tc>
          <w:tcPr>
            <w:tcW w:w="850" w:type="dxa"/>
            <w:vAlign w:val="center"/>
          </w:tcPr>
          <w:p w:rsidR="0042001D" w:rsidRPr="0042001D" w:rsidRDefault="002A1DDF" w:rsidP="005E464B">
            <w:pPr>
              <w:snapToGrid w:val="0"/>
              <w:jc w:val="right"/>
              <w:rPr>
                <w:rFonts w:ascii="Arial" w:hAnsi="Arial" w:cs="Arial"/>
                <w:sz w:val="20"/>
                <w:szCs w:val="20"/>
                <w:lang w:val="pt-PT"/>
              </w:rPr>
            </w:pPr>
            <w:r>
              <w:rPr>
                <w:rFonts w:ascii="Arial" w:hAnsi="Arial" w:cs="Arial"/>
                <w:sz w:val="20"/>
                <w:szCs w:val="20"/>
                <w:lang w:val="pt-PT"/>
              </w:rPr>
              <w:t>2,07</w:t>
            </w:r>
          </w:p>
        </w:tc>
        <w:tc>
          <w:tcPr>
            <w:tcW w:w="1134" w:type="dxa"/>
            <w:vAlign w:val="center"/>
          </w:tcPr>
          <w:p w:rsidR="0042001D" w:rsidRPr="0042001D" w:rsidRDefault="002A1DDF" w:rsidP="005E464B">
            <w:pPr>
              <w:snapToGrid w:val="0"/>
              <w:jc w:val="right"/>
              <w:rPr>
                <w:rFonts w:ascii="Arial" w:hAnsi="Arial" w:cs="Arial"/>
                <w:sz w:val="20"/>
                <w:szCs w:val="20"/>
                <w:lang w:val="pt-PT"/>
              </w:rPr>
            </w:pPr>
            <w:r>
              <w:rPr>
                <w:rFonts w:ascii="Arial" w:hAnsi="Arial" w:cs="Arial"/>
                <w:sz w:val="20"/>
                <w:szCs w:val="20"/>
                <w:lang w:val="pt-PT"/>
              </w:rPr>
              <w:t>4.140,00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94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Eletrodo descartável para </w:t>
            </w:r>
            <w:proofErr w:type="spellStart"/>
            <w:r w:rsidRPr="0042001D">
              <w:rPr>
                <w:rFonts w:ascii="Arial" w:hAnsi="Arial" w:cs="Arial"/>
                <w:sz w:val="20"/>
                <w:szCs w:val="20"/>
              </w:rPr>
              <w:t>monitorização</w:t>
            </w:r>
            <w:proofErr w:type="spellEnd"/>
            <w:r w:rsidRPr="0042001D">
              <w:rPr>
                <w:rFonts w:ascii="Arial" w:hAnsi="Arial" w:cs="Arial"/>
                <w:sz w:val="20"/>
                <w:szCs w:val="20"/>
              </w:rPr>
              <w:t xml:space="preserve"> cardíaca em adulto, formato quadrado ou redondo, constituído por um dorso de espuma flexível de polietileno, </w:t>
            </w:r>
            <w:proofErr w:type="spellStart"/>
            <w:r w:rsidRPr="0042001D">
              <w:rPr>
                <w:rFonts w:ascii="Arial" w:hAnsi="Arial" w:cs="Arial"/>
                <w:sz w:val="20"/>
                <w:szCs w:val="20"/>
              </w:rPr>
              <w:t>polivinilálcool</w:t>
            </w:r>
            <w:proofErr w:type="spellEnd"/>
            <w:r w:rsidRPr="0042001D">
              <w:rPr>
                <w:rFonts w:ascii="Arial" w:hAnsi="Arial" w:cs="Arial"/>
                <w:sz w:val="20"/>
                <w:szCs w:val="20"/>
              </w:rPr>
              <w:t xml:space="preserve">, impermeável a líquidos, coberto com adesivo acrílico, polietileno coberto com silicone, polímero sintético hidrofílico. Sistema de pino inox e </w:t>
            </w:r>
            <w:proofErr w:type="spellStart"/>
            <w:r w:rsidRPr="0042001D">
              <w:rPr>
                <w:rFonts w:ascii="Arial" w:hAnsi="Arial" w:cs="Arial"/>
                <w:sz w:val="20"/>
                <w:szCs w:val="20"/>
              </w:rPr>
              <w:t>contrapino</w:t>
            </w:r>
            <w:proofErr w:type="spellEnd"/>
            <w:r w:rsidRPr="0042001D">
              <w:rPr>
                <w:rFonts w:ascii="Arial" w:hAnsi="Arial" w:cs="Arial"/>
                <w:sz w:val="20"/>
                <w:szCs w:val="20"/>
              </w:rPr>
              <w:t xml:space="preserve"> metálico recoberto de cloreto de prata. Gel sólido. Indicado para </w:t>
            </w:r>
            <w:proofErr w:type="spellStart"/>
            <w:r w:rsidRPr="0042001D">
              <w:rPr>
                <w:rFonts w:ascii="Arial" w:hAnsi="Arial" w:cs="Arial"/>
                <w:sz w:val="20"/>
                <w:szCs w:val="20"/>
              </w:rPr>
              <w:t>monitorização</w:t>
            </w:r>
            <w:proofErr w:type="spellEnd"/>
            <w:r w:rsidRPr="0042001D">
              <w:rPr>
                <w:rFonts w:ascii="Arial" w:hAnsi="Arial" w:cs="Arial"/>
                <w:sz w:val="20"/>
                <w:szCs w:val="20"/>
              </w:rPr>
              <w:t xml:space="preserve"> de até 04 dias (96 horas). Procedimentos cirúrgicos, serviços de emergência, UTI, testes ergométricos, ECG. Embalagem contendo externamente dados de identificação, procedência, data da fabricação, validade, número de lote e registro no Ministério da Saúde.</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2A1DDF"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2A1DDF" w:rsidP="005E464B">
            <w:pPr>
              <w:snapToGrid w:val="0"/>
              <w:jc w:val="right"/>
              <w:rPr>
                <w:rFonts w:ascii="Arial" w:hAnsi="Arial" w:cs="Arial"/>
                <w:sz w:val="20"/>
                <w:szCs w:val="20"/>
                <w:lang w:val="pt-PT"/>
              </w:rPr>
            </w:pPr>
            <w:r>
              <w:rPr>
                <w:rFonts w:ascii="Arial" w:hAnsi="Arial" w:cs="Arial"/>
                <w:sz w:val="20"/>
                <w:szCs w:val="20"/>
                <w:lang w:val="pt-PT"/>
              </w:rPr>
              <w:t>0,19</w:t>
            </w:r>
          </w:p>
        </w:tc>
        <w:tc>
          <w:tcPr>
            <w:tcW w:w="1134" w:type="dxa"/>
            <w:vAlign w:val="center"/>
          </w:tcPr>
          <w:p w:rsidR="0042001D" w:rsidRPr="0042001D" w:rsidRDefault="002A1DDF" w:rsidP="005E464B">
            <w:pPr>
              <w:snapToGrid w:val="0"/>
              <w:jc w:val="right"/>
              <w:rPr>
                <w:rFonts w:ascii="Arial" w:hAnsi="Arial" w:cs="Arial"/>
                <w:sz w:val="20"/>
                <w:szCs w:val="20"/>
                <w:lang w:val="pt-PT"/>
              </w:rPr>
            </w:pPr>
            <w:r>
              <w:rPr>
                <w:rFonts w:ascii="Arial" w:hAnsi="Arial" w:cs="Arial"/>
                <w:sz w:val="20"/>
                <w:szCs w:val="20"/>
                <w:lang w:val="pt-PT"/>
              </w:rPr>
              <w:t>1.900,00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101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Escada com dois degraus: padrão hospitalar com piso antiderrapante, em metal esmaltado na cor branca.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91C89" w:rsidP="005E464B">
            <w:pPr>
              <w:snapToGrid w:val="0"/>
              <w:rPr>
                <w:rFonts w:ascii="Arial" w:hAnsi="Arial" w:cs="Arial"/>
                <w:sz w:val="20"/>
                <w:szCs w:val="20"/>
                <w:lang w:val="pt-PT"/>
              </w:rPr>
            </w:pPr>
            <w:r>
              <w:rPr>
                <w:rFonts w:ascii="Arial" w:hAnsi="Arial" w:cs="Arial"/>
                <w:sz w:val="20"/>
                <w:szCs w:val="20"/>
                <w:lang w:val="pt-PT"/>
              </w:rPr>
              <w:t>MARCOS MOVEIS</w:t>
            </w:r>
          </w:p>
        </w:tc>
        <w:tc>
          <w:tcPr>
            <w:tcW w:w="850" w:type="dxa"/>
            <w:vAlign w:val="center"/>
          </w:tcPr>
          <w:p w:rsidR="0042001D" w:rsidRPr="0042001D" w:rsidRDefault="00991C89" w:rsidP="005E464B">
            <w:pPr>
              <w:snapToGrid w:val="0"/>
              <w:jc w:val="right"/>
              <w:rPr>
                <w:rFonts w:ascii="Arial" w:hAnsi="Arial" w:cs="Arial"/>
                <w:sz w:val="20"/>
                <w:szCs w:val="20"/>
                <w:lang w:val="pt-PT"/>
              </w:rPr>
            </w:pPr>
            <w:r>
              <w:rPr>
                <w:rFonts w:ascii="Arial" w:hAnsi="Arial" w:cs="Arial"/>
                <w:sz w:val="20"/>
                <w:szCs w:val="20"/>
                <w:lang w:val="pt-PT"/>
              </w:rPr>
              <w:t>63,00</w:t>
            </w:r>
          </w:p>
        </w:tc>
        <w:tc>
          <w:tcPr>
            <w:tcW w:w="1134" w:type="dxa"/>
            <w:vAlign w:val="center"/>
          </w:tcPr>
          <w:p w:rsidR="0042001D" w:rsidRPr="0042001D" w:rsidRDefault="00991C89" w:rsidP="005E464B">
            <w:pPr>
              <w:snapToGrid w:val="0"/>
              <w:jc w:val="right"/>
              <w:rPr>
                <w:rFonts w:ascii="Arial" w:hAnsi="Arial" w:cs="Arial"/>
                <w:sz w:val="20"/>
                <w:szCs w:val="20"/>
                <w:lang w:val="pt-PT"/>
              </w:rPr>
            </w:pPr>
            <w:r>
              <w:rPr>
                <w:rFonts w:ascii="Arial" w:hAnsi="Arial" w:cs="Arial"/>
                <w:sz w:val="20"/>
                <w:szCs w:val="20"/>
                <w:lang w:val="pt-PT"/>
              </w:rPr>
              <w:t>1.575,00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109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Especulo vaginal descartável tamanho médio.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BF3B19" w:rsidP="005E464B">
            <w:pPr>
              <w:snapToGrid w:val="0"/>
              <w:rPr>
                <w:rFonts w:ascii="Arial" w:hAnsi="Arial" w:cs="Arial"/>
                <w:sz w:val="20"/>
                <w:szCs w:val="20"/>
                <w:lang w:val="pt-PT"/>
              </w:rPr>
            </w:pPr>
            <w:r>
              <w:rPr>
                <w:rFonts w:ascii="Arial" w:hAnsi="Arial" w:cs="Arial"/>
                <w:sz w:val="20"/>
                <w:szCs w:val="20"/>
                <w:lang w:val="pt-PT"/>
              </w:rPr>
              <w:t>KOLPLAST</w:t>
            </w:r>
          </w:p>
        </w:tc>
        <w:tc>
          <w:tcPr>
            <w:tcW w:w="850"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0,60</w:t>
            </w:r>
          </w:p>
        </w:tc>
        <w:tc>
          <w:tcPr>
            <w:tcW w:w="1134"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2.700,00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139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Lâmina p/ bisturi nº 11 - caixa com 100 unidades embaladas individualmente.</w:t>
            </w:r>
            <w:r w:rsidRPr="0042001D">
              <w:rPr>
                <w:rFonts w:ascii="Arial" w:hAnsi="Arial" w:cs="Arial"/>
                <w:b/>
                <w:bCs/>
                <w:sz w:val="20"/>
                <w:szCs w:val="20"/>
              </w:rPr>
              <w:t xml:space="preserve">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BF3B19" w:rsidP="005E464B">
            <w:pPr>
              <w:snapToGrid w:val="0"/>
              <w:rPr>
                <w:rFonts w:ascii="Arial" w:hAnsi="Arial" w:cs="Arial"/>
                <w:sz w:val="20"/>
                <w:szCs w:val="20"/>
                <w:lang w:val="pt-PT"/>
              </w:rPr>
            </w:pPr>
            <w:r>
              <w:rPr>
                <w:rFonts w:ascii="Arial" w:hAnsi="Arial" w:cs="Arial"/>
                <w:sz w:val="20"/>
                <w:szCs w:val="20"/>
                <w:lang w:val="pt-PT"/>
              </w:rPr>
              <w:t>MAXICOR</w:t>
            </w:r>
          </w:p>
        </w:tc>
        <w:tc>
          <w:tcPr>
            <w:tcW w:w="850"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18,90</w:t>
            </w:r>
          </w:p>
        </w:tc>
        <w:tc>
          <w:tcPr>
            <w:tcW w:w="1134"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283,50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140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Lâmina para bisturi nº 15 - caixa com 100 unidades embaladas individualmente.</w:t>
            </w:r>
            <w:r w:rsidRPr="0042001D">
              <w:rPr>
                <w:rFonts w:ascii="Arial" w:hAnsi="Arial" w:cs="Arial"/>
                <w:b/>
                <w:bCs/>
                <w:sz w:val="20"/>
                <w:szCs w:val="20"/>
              </w:rPr>
              <w:t xml:space="preserve">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BF3B19" w:rsidP="005E464B">
            <w:pPr>
              <w:snapToGrid w:val="0"/>
              <w:rPr>
                <w:rFonts w:ascii="Arial" w:hAnsi="Arial" w:cs="Arial"/>
                <w:sz w:val="20"/>
                <w:szCs w:val="20"/>
                <w:lang w:val="pt-PT"/>
              </w:rPr>
            </w:pPr>
            <w:r>
              <w:rPr>
                <w:rFonts w:ascii="Arial" w:hAnsi="Arial" w:cs="Arial"/>
                <w:sz w:val="20"/>
                <w:szCs w:val="20"/>
                <w:lang w:val="pt-PT"/>
              </w:rPr>
              <w:t>MAXICOR</w:t>
            </w:r>
          </w:p>
        </w:tc>
        <w:tc>
          <w:tcPr>
            <w:tcW w:w="850"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18,70</w:t>
            </w:r>
          </w:p>
        </w:tc>
        <w:tc>
          <w:tcPr>
            <w:tcW w:w="1134"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561,00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141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Lâmina p/ bisturi nº 24 - caixa com 100 unidades embaladas individualmente.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BF3B19" w:rsidP="005E464B">
            <w:pPr>
              <w:snapToGrid w:val="0"/>
              <w:rPr>
                <w:rFonts w:ascii="Arial" w:hAnsi="Arial" w:cs="Arial"/>
                <w:sz w:val="20"/>
                <w:szCs w:val="20"/>
                <w:lang w:val="pt-PT"/>
              </w:rPr>
            </w:pPr>
            <w:r>
              <w:rPr>
                <w:rFonts w:ascii="Arial" w:hAnsi="Arial" w:cs="Arial"/>
                <w:sz w:val="20"/>
                <w:szCs w:val="20"/>
                <w:lang w:val="pt-PT"/>
              </w:rPr>
              <w:t>MAXICOR</w:t>
            </w:r>
          </w:p>
        </w:tc>
        <w:tc>
          <w:tcPr>
            <w:tcW w:w="850"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18,90</w:t>
            </w:r>
          </w:p>
        </w:tc>
        <w:tc>
          <w:tcPr>
            <w:tcW w:w="1134" w:type="dxa"/>
            <w:vAlign w:val="center"/>
          </w:tcPr>
          <w:p w:rsidR="0042001D" w:rsidRPr="0042001D" w:rsidRDefault="00BF3B19" w:rsidP="005E464B">
            <w:pPr>
              <w:snapToGrid w:val="0"/>
              <w:jc w:val="right"/>
              <w:rPr>
                <w:rFonts w:ascii="Arial" w:hAnsi="Arial" w:cs="Arial"/>
                <w:sz w:val="20"/>
                <w:szCs w:val="20"/>
                <w:lang w:val="pt-PT"/>
              </w:rPr>
            </w:pPr>
            <w:r>
              <w:rPr>
                <w:rFonts w:ascii="Arial" w:hAnsi="Arial" w:cs="Arial"/>
                <w:sz w:val="20"/>
                <w:szCs w:val="20"/>
                <w:lang w:val="pt-PT"/>
              </w:rPr>
              <w:t>283,50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167</w:t>
            </w:r>
          </w:p>
        </w:tc>
        <w:tc>
          <w:tcPr>
            <w:tcW w:w="4820" w:type="dxa"/>
            <w:vAlign w:val="center"/>
          </w:tcPr>
          <w:p w:rsidR="0042001D" w:rsidRPr="0042001D" w:rsidRDefault="0042001D" w:rsidP="005E464B">
            <w:pPr>
              <w:rPr>
                <w:rFonts w:ascii="Arial" w:hAnsi="Arial" w:cs="Arial"/>
                <w:sz w:val="20"/>
                <w:szCs w:val="20"/>
              </w:rPr>
            </w:pPr>
            <w:proofErr w:type="spellStart"/>
            <w:r w:rsidRPr="0042001D">
              <w:rPr>
                <w:rFonts w:ascii="Arial" w:hAnsi="Arial" w:cs="Arial"/>
                <w:sz w:val="20"/>
                <w:szCs w:val="20"/>
              </w:rPr>
              <w:t>Otoscópio</w:t>
            </w:r>
            <w:proofErr w:type="spellEnd"/>
            <w:r w:rsidRPr="0042001D">
              <w:rPr>
                <w:rFonts w:ascii="Arial" w:hAnsi="Arial" w:cs="Arial"/>
                <w:sz w:val="20"/>
                <w:szCs w:val="20"/>
              </w:rPr>
              <w:t xml:space="preserve"> – Lente de visão ampla para visualização com </w:t>
            </w:r>
            <w:proofErr w:type="spellStart"/>
            <w:r w:rsidRPr="0042001D">
              <w:rPr>
                <w:rFonts w:ascii="Arial" w:hAnsi="Arial" w:cs="Arial"/>
                <w:sz w:val="20"/>
                <w:szCs w:val="20"/>
              </w:rPr>
              <w:t>magnificação</w:t>
            </w:r>
            <w:proofErr w:type="spellEnd"/>
            <w:r w:rsidRPr="0042001D">
              <w:rPr>
                <w:rFonts w:ascii="Arial" w:hAnsi="Arial" w:cs="Arial"/>
                <w:sz w:val="20"/>
                <w:szCs w:val="20"/>
              </w:rPr>
              <w:t xml:space="preserve">. Sistema vedado para </w:t>
            </w:r>
            <w:proofErr w:type="spellStart"/>
            <w:r w:rsidRPr="0042001D">
              <w:rPr>
                <w:rFonts w:ascii="Arial" w:hAnsi="Arial" w:cs="Arial"/>
                <w:sz w:val="20"/>
                <w:szCs w:val="20"/>
              </w:rPr>
              <w:t>otoscopia</w:t>
            </w:r>
            <w:proofErr w:type="spellEnd"/>
            <w:r w:rsidRPr="0042001D">
              <w:rPr>
                <w:rFonts w:ascii="Arial" w:hAnsi="Arial" w:cs="Arial"/>
                <w:sz w:val="20"/>
                <w:szCs w:val="20"/>
              </w:rPr>
              <w:t xml:space="preserve"> pneumática. Cabeça altamente resistente a impactos. Conexão para </w:t>
            </w:r>
            <w:proofErr w:type="spellStart"/>
            <w:r w:rsidRPr="0042001D">
              <w:rPr>
                <w:rFonts w:ascii="Arial" w:hAnsi="Arial" w:cs="Arial"/>
                <w:sz w:val="20"/>
                <w:szCs w:val="20"/>
              </w:rPr>
              <w:t>otoscopia</w:t>
            </w:r>
            <w:proofErr w:type="spellEnd"/>
            <w:r w:rsidRPr="0042001D">
              <w:rPr>
                <w:rFonts w:ascii="Arial" w:hAnsi="Arial" w:cs="Arial"/>
                <w:sz w:val="20"/>
                <w:szCs w:val="20"/>
              </w:rPr>
              <w:t xml:space="preserve"> pneumática. </w:t>
            </w:r>
            <w:proofErr w:type="spellStart"/>
            <w:r w:rsidRPr="0042001D">
              <w:rPr>
                <w:rFonts w:ascii="Arial" w:hAnsi="Arial" w:cs="Arial"/>
                <w:sz w:val="20"/>
                <w:szCs w:val="20"/>
              </w:rPr>
              <w:t>Espéculos</w:t>
            </w:r>
            <w:proofErr w:type="spellEnd"/>
            <w:r w:rsidRPr="0042001D">
              <w:rPr>
                <w:rFonts w:ascii="Arial" w:hAnsi="Arial" w:cs="Arial"/>
                <w:sz w:val="20"/>
                <w:szCs w:val="20"/>
              </w:rPr>
              <w:t xml:space="preserve"> </w:t>
            </w:r>
            <w:proofErr w:type="spellStart"/>
            <w:r w:rsidRPr="0042001D">
              <w:rPr>
                <w:rFonts w:ascii="Arial" w:hAnsi="Arial" w:cs="Arial"/>
                <w:sz w:val="20"/>
                <w:szCs w:val="20"/>
              </w:rPr>
              <w:t>autoclaváveis</w:t>
            </w:r>
            <w:proofErr w:type="spellEnd"/>
            <w:r w:rsidRPr="0042001D">
              <w:rPr>
                <w:rFonts w:ascii="Arial" w:hAnsi="Arial" w:cs="Arial"/>
                <w:sz w:val="20"/>
                <w:szCs w:val="20"/>
              </w:rPr>
              <w:t xml:space="preserve"> ou descartáveis. Transmissão da luz por fibra óptica. Acionamento através de botão liga/desliga.</w:t>
            </w:r>
          </w:p>
          <w:p w:rsidR="0042001D" w:rsidRPr="0042001D" w:rsidRDefault="0042001D" w:rsidP="005E464B">
            <w:pPr>
              <w:rPr>
                <w:rFonts w:ascii="Arial" w:hAnsi="Arial" w:cs="Arial"/>
                <w:sz w:val="20"/>
                <w:szCs w:val="20"/>
              </w:rPr>
            </w:pPr>
            <w:r w:rsidRPr="0042001D">
              <w:rPr>
                <w:rFonts w:ascii="Arial" w:hAnsi="Arial" w:cs="Arial"/>
                <w:sz w:val="20"/>
                <w:szCs w:val="20"/>
              </w:rPr>
              <w:t xml:space="preserve"> Acompanha kit com 14 </w:t>
            </w:r>
            <w:proofErr w:type="spellStart"/>
            <w:r w:rsidRPr="0042001D">
              <w:rPr>
                <w:rFonts w:ascii="Arial" w:hAnsi="Arial" w:cs="Arial"/>
                <w:sz w:val="20"/>
                <w:szCs w:val="20"/>
              </w:rPr>
              <w:t>espéculos</w:t>
            </w:r>
            <w:proofErr w:type="spellEnd"/>
            <w:r w:rsidRPr="0042001D">
              <w:rPr>
                <w:rFonts w:ascii="Arial" w:hAnsi="Arial" w:cs="Arial"/>
                <w:sz w:val="20"/>
                <w:szCs w:val="20"/>
              </w:rPr>
              <w:t xml:space="preserve"> e uma lâmpada adicional para pronta substituição, cabo metálico alimentado para 02 pilhas alcalinas “AA”; estojo para guardar e proteger o </w:t>
            </w:r>
            <w:proofErr w:type="spellStart"/>
            <w:r w:rsidRPr="0042001D">
              <w:rPr>
                <w:rFonts w:ascii="Arial" w:hAnsi="Arial" w:cs="Arial"/>
                <w:sz w:val="20"/>
                <w:szCs w:val="20"/>
              </w:rPr>
              <w:t>Otoscópio</w:t>
            </w:r>
            <w:proofErr w:type="spellEnd"/>
            <w:r w:rsidRPr="0042001D">
              <w:rPr>
                <w:rFonts w:ascii="Arial" w:hAnsi="Arial" w:cs="Arial"/>
                <w:sz w:val="20"/>
                <w:szCs w:val="20"/>
              </w:rPr>
              <w:t>, clipe de bolso.</w:t>
            </w:r>
            <w:r w:rsidRPr="0042001D">
              <w:rPr>
                <w:rFonts w:ascii="Arial" w:hAnsi="Arial" w:cs="Arial"/>
                <w:b/>
                <w:i/>
                <w:sz w:val="20"/>
                <w:szCs w:val="20"/>
              </w:rPr>
              <w:t xml:space="preserve">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64D68" w:rsidP="005E464B">
            <w:pPr>
              <w:snapToGrid w:val="0"/>
              <w:rPr>
                <w:rFonts w:ascii="Arial" w:hAnsi="Arial" w:cs="Arial"/>
                <w:sz w:val="20"/>
                <w:szCs w:val="20"/>
                <w:lang w:val="pt-PT"/>
              </w:rPr>
            </w:pPr>
            <w:r>
              <w:rPr>
                <w:rFonts w:ascii="Arial" w:hAnsi="Arial" w:cs="Arial"/>
                <w:sz w:val="20"/>
                <w:szCs w:val="20"/>
                <w:lang w:val="pt-PT"/>
              </w:rPr>
              <w:t>MD/OMNI3000</w:t>
            </w:r>
          </w:p>
        </w:tc>
        <w:tc>
          <w:tcPr>
            <w:tcW w:w="850" w:type="dxa"/>
            <w:vAlign w:val="center"/>
          </w:tcPr>
          <w:p w:rsidR="0042001D" w:rsidRPr="0042001D" w:rsidRDefault="00A64D68" w:rsidP="005E464B">
            <w:pPr>
              <w:snapToGrid w:val="0"/>
              <w:jc w:val="right"/>
              <w:rPr>
                <w:rFonts w:ascii="Arial" w:hAnsi="Arial" w:cs="Arial"/>
                <w:sz w:val="20"/>
                <w:szCs w:val="20"/>
                <w:lang w:val="pt-PT"/>
              </w:rPr>
            </w:pPr>
            <w:r>
              <w:rPr>
                <w:rFonts w:ascii="Arial" w:hAnsi="Arial" w:cs="Arial"/>
                <w:sz w:val="20"/>
                <w:szCs w:val="20"/>
                <w:lang w:val="pt-PT"/>
              </w:rPr>
              <w:t>310,00</w:t>
            </w:r>
          </w:p>
        </w:tc>
        <w:tc>
          <w:tcPr>
            <w:tcW w:w="1134" w:type="dxa"/>
            <w:vAlign w:val="center"/>
          </w:tcPr>
          <w:p w:rsidR="0042001D" w:rsidRPr="0042001D" w:rsidRDefault="00A64D68" w:rsidP="005E464B">
            <w:pPr>
              <w:snapToGrid w:val="0"/>
              <w:jc w:val="right"/>
              <w:rPr>
                <w:rFonts w:ascii="Arial" w:hAnsi="Arial" w:cs="Arial"/>
                <w:sz w:val="20"/>
                <w:szCs w:val="20"/>
                <w:lang w:val="pt-PT"/>
              </w:rPr>
            </w:pPr>
            <w:r>
              <w:rPr>
                <w:rFonts w:ascii="Arial" w:hAnsi="Arial" w:cs="Arial"/>
                <w:sz w:val="20"/>
                <w:szCs w:val="20"/>
                <w:lang w:val="pt-PT"/>
              </w:rPr>
              <w:t>9.300,00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Porta Agulha - confeccionado em aço inoxidável AISI-420. Tamanho 12 cm. Embalagem plástica individual. Fabricado de acordo com Padrões Internacionais de Qualidade, Normas da ABNT.</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37A85" w:rsidP="005E464B">
            <w:pPr>
              <w:snapToGrid w:val="0"/>
              <w:rPr>
                <w:rFonts w:ascii="Arial" w:hAnsi="Arial" w:cs="Arial"/>
                <w:sz w:val="20"/>
                <w:szCs w:val="20"/>
                <w:lang w:val="pt-PT"/>
              </w:rPr>
            </w:pPr>
            <w:r>
              <w:rPr>
                <w:rFonts w:ascii="Arial" w:hAnsi="Arial" w:cs="Arial"/>
                <w:sz w:val="20"/>
                <w:szCs w:val="20"/>
                <w:lang w:val="pt-PT"/>
              </w:rPr>
              <w:t>ABC/DERF</w:t>
            </w:r>
          </w:p>
        </w:tc>
        <w:tc>
          <w:tcPr>
            <w:tcW w:w="850" w:type="dxa"/>
            <w:vAlign w:val="center"/>
          </w:tcPr>
          <w:p w:rsidR="0042001D" w:rsidRPr="0042001D" w:rsidRDefault="00D37A85" w:rsidP="005E464B">
            <w:pPr>
              <w:snapToGrid w:val="0"/>
              <w:jc w:val="right"/>
              <w:rPr>
                <w:rFonts w:ascii="Arial" w:hAnsi="Arial" w:cs="Arial"/>
                <w:sz w:val="20"/>
                <w:szCs w:val="20"/>
                <w:lang w:val="pt-PT"/>
              </w:rPr>
            </w:pPr>
            <w:r>
              <w:rPr>
                <w:rFonts w:ascii="Arial" w:hAnsi="Arial" w:cs="Arial"/>
                <w:sz w:val="20"/>
                <w:szCs w:val="20"/>
                <w:lang w:val="pt-PT"/>
              </w:rPr>
              <w:t>22,35</w:t>
            </w:r>
          </w:p>
        </w:tc>
        <w:tc>
          <w:tcPr>
            <w:tcW w:w="1134" w:type="dxa"/>
            <w:vAlign w:val="center"/>
          </w:tcPr>
          <w:p w:rsidR="0042001D" w:rsidRPr="0042001D" w:rsidRDefault="00D37A85" w:rsidP="005E464B">
            <w:pPr>
              <w:snapToGrid w:val="0"/>
              <w:jc w:val="right"/>
              <w:rPr>
                <w:rFonts w:ascii="Arial" w:hAnsi="Arial" w:cs="Arial"/>
                <w:sz w:val="20"/>
                <w:szCs w:val="20"/>
                <w:lang w:val="pt-PT"/>
              </w:rPr>
            </w:pPr>
            <w:r>
              <w:rPr>
                <w:rFonts w:ascii="Arial" w:hAnsi="Arial" w:cs="Arial"/>
                <w:sz w:val="20"/>
                <w:szCs w:val="20"/>
                <w:lang w:val="pt-PT"/>
              </w:rPr>
              <w:t>447,00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Saco </w:t>
            </w:r>
            <w:proofErr w:type="spellStart"/>
            <w:r w:rsidRPr="0042001D">
              <w:rPr>
                <w:rFonts w:ascii="Arial" w:hAnsi="Arial" w:cs="Arial"/>
                <w:sz w:val="20"/>
                <w:szCs w:val="20"/>
              </w:rPr>
              <w:t>hamper</w:t>
            </w:r>
            <w:proofErr w:type="spellEnd"/>
            <w:proofErr w:type="gramStart"/>
            <w:r w:rsidRPr="0042001D">
              <w:rPr>
                <w:rFonts w:ascii="Arial" w:hAnsi="Arial" w:cs="Arial"/>
                <w:sz w:val="20"/>
                <w:szCs w:val="20"/>
              </w:rPr>
              <w:t xml:space="preserve">  </w:t>
            </w:r>
            <w:proofErr w:type="gramEnd"/>
            <w:r w:rsidRPr="0042001D">
              <w:rPr>
                <w:rFonts w:ascii="Arial" w:hAnsi="Arial" w:cs="Arial"/>
                <w:sz w:val="20"/>
                <w:szCs w:val="20"/>
              </w:rPr>
              <w:t>infectante com dispositivo de fechamento acoplado na boca do saco. Cor azul, tamanho 120 litros.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37A85" w:rsidP="005E464B">
            <w:pPr>
              <w:snapToGrid w:val="0"/>
              <w:rPr>
                <w:rFonts w:ascii="Arial" w:hAnsi="Arial" w:cs="Arial"/>
                <w:sz w:val="20"/>
                <w:szCs w:val="20"/>
                <w:lang w:val="pt-PT"/>
              </w:rPr>
            </w:pPr>
            <w:r>
              <w:rPr>
                <w:rFonts w:ascii="Arial" w:hAnsi="Arial" w:cs="Arial"/>
                <w:sz w:val="20"/>
                <w:szCs w:val="20"/>
                <w:lang w:val="pt-PT"/>
              </w:rPr>
              <w:t>JUREMA</w:t>
            </w:r>
          </w:p>
        </w:tc>
        <w:tc>
          <w:tcPr>
            <w:tcW w:w="850" w:type="dxa"/>
            <w:vAlign w:val="center"/>
          </w:tcPr>
          <w:p w:rsidR="0042001D" w:rsidRPr="0042001D" w:rsidRDefault="00D37A85" w:rsidP="005E464B">
            <w:pPr>
              <w:snapToGrid w:val="0"/>
              <w:jc w:val="right"/>
              <w:rPr>
                <w:rFonts w:ascii="Arial" w:hAnsi="Arial" w:cs="Arial"/>
                <w:sz w:val="20"/>
                <w:szCs w:val="20"/>
                <w:lang w:val="pt-PT"/>
              </w:rPr>
            </w:pPr>
            <w:r>
              <w:rPr>
                <w:rFonts w:ascii="Arial" w:hAnsi="Arial" w:cs="Arial"/>
                <w:sz w:val="20"/>
                <w:szCs w:val="20"/>
                <w:lang w:val="pt-PT"/>
              </w:rPr>
              <w:t>1,16</w:t>
            </w:r>
          </w:p>
        </w:tc>
        <w:tc>
          <w:tcPr>
            <w:tcW w:w="1134" w:type="dxa"/>
            <w:vAlign w:val="center"/>
          </w:tcPr>
          <w:p w:rsidR="0042001D" w:rsidRPr="0042001D" w:rsidRDefault="00D37A85" w:rsidP="005E464B">
            <w:pPr>
              <w:snapToGrid w:val="0"/>
              <w:jc w:val="right"/>
              <w:rPr>
                <w:rFonts w:ascii="Arial" w:hAnsi="Arial" w:cs="Arial"/>
                <w:sz w:val="20"/>
                <w:szCs w:val="20"/>
                <w:lang w:val="pt-PT"/>
              </w:rPr>
            </w:pPr>
            <w:r>
              <w:rPr>
                <w:rFonts w:ascii="Arial" w:hAnsi="Arial" w:cs="Arial"/>
                <w:sz w:val="20"/>
                <w:szCs w:val="20"/>
                <w:lang w:val="pt-PT"/>
              </w:rPr>
              <w:t>2.900,00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209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nº 12</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80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2,15</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172,00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nº 14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2,15</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215,00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w:t>
            </w:r>
            <w:proofErr w:type="spellStart"/>
            <w:r w:rsidRPr="0042001D">
              <w:rPr>
                <w:rFonts w:ascii="Arial" w:hAnsi="Arial" w:cs="Arial"/>
                <w:sz w:val="20"/>
                <w:szCs w:val="20"/>
              </w:rPr>
              <w:t>Foley</w:t>
            </w:r>
            <w:proofErr w:type="spellEnd"/>
            <w:r w:rsidRPr="0042001D">
              <w:rPr>
                <w:rFonts w:ascii="Arial" w:hAnsi="Arial" w:cs="Arial"/>
                <w:sz w:val="20"/>
                <w:szCs w:val="20"/>
              </w:rPr>
              <w:t xml:space="preserve"> estéril 02 vias, </w:t>
            </w:r>
            <w:proofErr w:type="spellStart"/>
            <w:r w:rsidRPr="0042001D">
              <w:rPr>
                <w:rFonts w:ascii="Arial" w:hAnsi="Arial" w:cs="Arial"/>
                <w:sz w:val="20"/>
                <w:szCs w:val="20"/>
              </w:rPr>
              <w:t>siliconizada</w:t>
            </w:r>
            <w:proofErr w:type="spellEnd"/>
            <w:r w:rsidRPr="0042001D">
              <w:rPr>
                <w:rFonts w:ascii="Arial" w:hAnsi="Arial" w:cs="Arial"/>
                <w:sz w:val="20"/>
                <w:szCs w:val="20"/>
              </w:rPr>
              <w:t>, nº 16</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2,13</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213,00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Sonda p/ alimentação </w:t>
            </w:r>
            <w:proofErr w:type="spellStart"/>
            <w:r w:rsidRPr="0042001D">
              <w:rPr>
                <w:rFonts w:ascii="Arial" w:hAnsi="Arial" w:cs="Arial"/>
                <w:sz w:val="20"/>
                <w:szCs w:val="20"/>
              </w:rPr>
              <w:t>naso</w:t>
            </w:r>
            <w:proofErr w:type="spellEnd"/>
            <w:r w:rsidRPr="0042001D">
              <w:rPr>
                <w:rFonts w:ascii="Arial" w:hAnsi="Arial" w:cs="Arial"/>
                <w:sz w:val="20"/>
                <w:szCs w:val="20"/>
              </w:rPr>
              <w:t xml:space="preserve"> </w:t>
            </w:r>
            <w:proofErr w:type="spellStart"/>
            <w:r w:rsidRPr="0042001D">
              <w:rPr>
                <w:rFonts w:ascii="Arial" w:hAnsi="Arial" w:cs="Arial"/>
                <w:sz w:val="20"/>
                <w:szCs w:val="20"/>
              </w:rPr>
              <w:t>enteral</w:t>
            </w:r>
            <w:proofErr w:type="spellEnd"/>
            <w:r w:rsidRPr="0042001D">
              <w:rPr>
                <w:rFonts w:ascii="Arial" w:hAnsi="Arial" w:cs="Arial"/>
                <w:sz w:val="20"/>
                <w:szCs w:val="20"/>
              </w:rPr>
              <w:t xml:space="preserve"> adulto. 120 cm. Poliuretano, flexível, acompanha fio-guia em aço inox, conforme normas ANVISA, esterilizada em óxido de etileno – Tamanho 12</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SOLUMED</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8,75</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1.312,50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218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Sonda uretral estéril nº 08</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0,39</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780,00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Sonda uretral estéril nº 12</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0,39</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7.800,00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Soro fisiológico 0,9%, frasco com fácil adaptação ao equipo para infusão parenteral sistema fechado, c/ 100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4.200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EQUIPLEX</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1,70</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7.140,00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224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Soro fisiológico 0,9%, frasco com fácil adaptação ao equipo para infusão parenteral sistema fechado, c/ 250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4.600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EQUIPLEX</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2,09</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9.614,00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225</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Soro fisiológico 0,9%, frasco com fácil adaptação ao equipo para infusão parenteral sistema fechado, c/ 500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EQUIPLEX</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2,42</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7.260,00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238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Tampão ocular - Infantil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33F82" w:rsidP="005E464B">
            <w:pPr>
              <w:snapToGrid w:val="0"/>
              <w:rPr>
                <w:rFonts w:ascii="Arial" w:hAnsi="Arial" w:cs="Arial"/>
                <w:sz w:val="20"/>
                <w:szCs w:val="20"/>
                <w:lang w:val="pt-PT"/>
              </w:rPr>
            </w:pPr>
            <w:r>
              <w:rPr>
                <w:rFonts w:ascii="Arial" w:hAnsi="Arial" w:cs="Arial"/>
                <w:sz w:val="20"/>
                <w:szCs w:val="20"/>
                <w:lang w:val="pt-PT"/>
              </w:rPr>
              <w:t>CRAL</w:t>
            </w:r>
          </w:p>
        </w:tc>
        <w:tc>
          <w:tcPr>
            <w:tcW w:w="850"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0,24</w:t>
            </w:r>
          </w:p>
        </w:tc>
        <w:tc>
          <w:tcPr>
            <w:tcW w:w="1134" w:type="dxa"/>
            <w:vAlign w:val="center"/>
          </w:tcPr>
          <w:p w:rsidR="0042001D" w:rsidRPr="0042001D" w:rsidRDefault="00833F82" w:rsidP="005E464B">
            <w:pPr>
              <w:snapToGrid w:val="0"/>
              <w:jc w:val="right"/>
              <w:rPr>
                <w:rFonts w:ascii="Arial" w:hAnsi="Arial" w:cs="Arial"/>
                <w:sz w:val="20"/>
                <w:szCs w:val="20"/>
                <w:lang w:val="pt-PT"/>
              </w:rPr>
            </w:pPr>
            <w:r>
              <w:rPr>
                <w:rFonts w:ascii="Arial" w:hAnsi="Arial" w:cs="Arial"/>
                <w:sz w:val="20"/>
                <w:szCs w:val="20"/>
                <w:lang w:val="pt-PT"/>
              </w:rPr>
              <w:t>24,00</w:t>
            </w:r>
          </w:p>
        </w:tc>
      </w:tr>
      <w:tr w:rsidR="0042001D" w:rsidRPr="0042001D" w:rsidTr="009D2091">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260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Umidificador de oxigênio, frasco plástico de 250 ml, boca larga, rosca de metal.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F54459" w:rsidP="005E464B">
            <w:pPr>
              <w:snapToGrid w:val="0"/>
              <w:rPr>
                <w:rFonts w:ascii="Arial" w:hAnsi="Arial" w:cs="Arial"/>
                <w:sz w:val="20"/>
                <w:szCs w:val="20"/>
                <w:lang w:val="pt-PT"/>
              </w:rPr>
            </w:pPr>
            <w:r>
              <w:rPr>
                <w:rFonts w:ascii="Arial" w:hAnsi="Arial" w:cs="Arial"/>
                <w:sz w:val="20"/>
                <w:szCs w:val="20"/>
                <w:lang w:val="pt-PT"/>
              </w:rPr>
              <w:t>UNITEC</w:t>
            </w:r>
          </w:p>
        </w:tc>
        <w:tc>
          <w:tcPr>
            <w:tcW w:w="850" w:type="dxa"/>
            <w:vAlign w:val="center"/>
          </w:tcPr>
          <w:p w:rsidR="0042001D" w:rsidRPr="0042001D" w:rsidRDefault="00F54459" w:rsidP="005E464B">
            <w:pPr>
              <w:snapToGrid w:val="0"/>
              <w:jc w:val="right"/>
              <w:rPr>
                <w:rFonts w:ascii="Arial" w:hAnsi="Arial" w:cs="Arial"/>
                <w:sz w:val="20"/>
                <w:szCs w:val="20"/>
                <w:lang w:val="pt-PT"/>
              </w:rPr>
            </w:pPr>
            <w:r>
              <w:rPr>
                <w:rFonts w:ascii="Arial" w:hAnsi="Arial" w:cs="Arial"/>
                <w:sz w:val="20"/>
                <w:szCs w:val="20"/>
                <w:lang w:val="pt-PT"/>
              </w:rPr>
              <w:t>12,98</w:t>
            </w:r>
          </w:p>
        </w:tc>
        <w:tc>
          <w:tcPr>
            <w:tcW w:w="1134" w:type="dxa"/>
            <w:vAlign w:val="center"/>
          </w:tcPr>
          <w:p w:rsidR="0042001D" w:rsidRPr="0042001D" w:rsidRDefault="00F54459" w:rsidP="005E464B">
            <w:pPr>
              <w:snapToGrid w:val="0"/>
              <w:jc w:val="right"/>
              <w:rPr>
                <w:rFonts w:ascii="Arial" w:hAnsi="Arial" w:cs="Arial"/>
                <w:sz w:val="20"/>
                <w:szCs w:val="20"/>
                <w:lang w:val="pt-PT"/>
              </w:rPr>
            </w:pPr>
            <w:r>
              <w:rPr>
                <w:rFonts w:ascii="Arial" w:hAnsi="Arial" w:cs="Arial"/>
                <w:sz w:val="20"/>
                <w:szCs w:val="20"/>
                <w:lang w:val="pt-PT"/>
              </w:rPr>
              <w:t>324,50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A0B2F" w:rsidRDefault="0042001D" w:rsidP="004A0B2F">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lastRenderedPageBreak/>
        <w:t>CLÁUSULA QUARTA – DA FORMA DE PAGAMENTO, DO REAJUSTE E DA REVISÃO</w:t>
      </w:r>
    </w:p>
    <w:p w:rsidR="0042001D" w:rsidRPr="004A0B2F" w:rsidRDefault="0042001D" w:rsidP="004A0B2F">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22060D">
        <w:rPr>
          <w:rFonts w:ascii="Arial" w:hAnsi="Arial" w:cs="Arial"/>
          <w:sz w:val="20"/>
          <w:szCs w:val="20"/>
        </w:rPr>
        <w:t>282.126-5</w:t>
      </w:r>
      <w:r w:rsidRPr="0042001D">
        <w:rPr>
          <w:rFonts w:ascii="Arial" w:hAnsi="Arial" w:cs="Arial"/>
          <w:sz w:val="20"/>
          <w:szCs w:val="20"/>
        </w:rPr>
        <w:t xml:space="preserve">, do Banco </w:t>
      </w:r>
      <w:r w:rsidR="0022060D">
        <w:rPr>
          <w:rFonts w:ascii="Arial" w:hAnsi="Arial" w:cs="Arial"/>
          <w:sz w:val="20"/>
          <w:szCs w:val="20"/>
        </w:rPr>
        <w:t>BRASIL</w:t>
      </w:r>
      <w:r w:rsidRPr="0042001D">
        <w:rPr>
          <w:rFonts w:ascii="Arial" w:hAnsi="Arial" w:cs="Arial"/>
          <w:sz w:val="20"/>
          <w:szCs w:val="20"/>
        </w:rPr>
        <w:t xml:space="preserve">, agência nº </w:t>
      </w:r>
      <w:r w:rsidR="0022060D">
        <w:rPr>
          <w:rFonts w:ascii="Arial" w:hAnsi="Arial" w:cs="Arial"/>
          <w:sz w:val="20"/>
          <w:szCs w:val="20"/>
        </w:rPr>
        <w:t>0276-3</w:t>
      </w:r>
      <w:r w:rsidRPr="0042001D">
        <w:rPr>
          <w:rFonts w:ascii="Arial" w:hAnsi="Arial" w:cs="Arial"/>
          <w:sz w:val="20"/>
          <w:szCs w:val="20"/>
        </w:rPr>
        <w:t>.</w:t>
      </w:r>
    </w:p>
    <w:p w:rsidR="0042001D" w:rsidRPr="004A0B2F" w:rsidRDefault="0042001D" w:rsidP="004A0B2F">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A0B2F" w:rsidRDefault="0042001D" w:rsidP="004A0B2F">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A0B2F" w:rsidRDefault="0042001D" w:rsidP="004A0B2F">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registrado tornar-se superior ao preço praticado no mercado por motivo superveniente, o órgão gerenciador convocará os fornecedores para negociarem a redução dos preços aos valores praticados </w:t>
      </w:r>
      <w:proofErr w:type="gramStart"/>
      <w:r w:rsidRPr="0042001D">
        <w:rPr>
          <w:rFonts w:cs="Arial"/>
        </w:rPr>
        <w:t>pelo</w:t>
      </w:r>
      <w:proofErr w:type="gramEnd"/>
      <w:r w:rsidRPr="0042001D">
        <w:rPr>
          <w:rFonts w:cs="Arial"/>
        </w:rPr>
        <w:t xml:space="preserve">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A0B2F" w:rsidRDefault="0042001D" w:rsidP="004A0B2F">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lastRenderedPageBreak/>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A0B2F" w:rsidRDefault="0042001D" w:rsidP="004A0B2F">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AA794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A0B2F" w:rsidRDefault="0042001D" w:rsidP="004A0B2F">
      <w:pPr>
        <w:pStyle w:val="Ttulo"/>
        <w:rPr>
          <w:b w:val="0"/>
        </w:rPr>
      </w:pPr>
      <w:r w:rsidRPr="004A0B2F">
        <w:rPr>
          <w:b w:val="0"/>
        </w:rPr>
        <w:t>SECRETARIA MUNICIPAL DE SAÚDE</w:t>
      </w:r>
    </w:p>
    <w:p w:rsidR="0042001D" w:rsidRPr="004A0B2F" w:rsidRDefault="0042001D" w:rsidP="004A0B2F">
      <w:pPr>
        <w:pStyle w:val="Ttulo"/>
        <w:rPr>
          <w:b w:val="0"/>
        </w:rPr>
      </w:pPr>
      <w:r w:rsidRPr="004A0B2F">
        <w:rPr>
          <w:b w:val="0"/>
        </w:rPr>
        <w:t>FUNDO MUNICIPAL DE SAÚDE</w:t>
      </w:r>
    </w:p>
    <w:p w:rsidR="0042001D" w:rsidRPr="004A0B2F" w:rsidRDefault="0042001D" w:rsidP="004A0B2F">
      <w:pPr>
        <w:pStyle w:val="Ttulo"/>
        <w:rPr>
          <w:b w:val="0"/>
        </w:rPr>
      </w:pPr>
      <w:r w:rsidRPr="004A0B2F">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AA7945" w:rsidRDefault="004A0B2F" w:rsidP="00AA7945">
      <w:pPr>
        <w:pStyle w:val="Ttulo"/>
        <w:rPr>
          <w:b w:val="0"/>
        </w:rPr>
      </w:pPr>
      <w:r w:rsidRPr="00AA7945">
        <w:rPr>
          <w:b w:val="0"/>
        </w:rPr>
        <w:t>METROMED COM. DE MATERIAL MEDICO HOSPITALAR LTDA</w:t>
      </w:r>
    </w:p>
    <w:p w:rsidR="004A0B2F" w:rsidRPr="00AA7945" w:rsidRDefault="004A0B2F" w:rsidP="00AA7945">
      <w:pPr>
        <w:pStyle w:val="Ttulo"/>
        <w:rPr>
          <w:b w:val="0"/>
        </w:rPr>
      </w:pPr>
      <w:r w:rsidRPr="00AA7945">
        <w:rPr>
          <w:b w:val="0"/>
        </w:rPr>
        <w:t>HELENA MARIA WOITEXEN</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3A0B92" w:rsidRPr="00AA7945" w:rsidRDefault="0042001D" w:rsidP="00AA7945">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sectPr w:rsidR="003A0B92" w:rsidRPr="00AA7945"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92" w:rsidRDefault="003A0B92" w:rsidP="003A0B92">
      <w:pPr>
        <w:spacing w:after="0" w:line="240" w:lineRule="auto"/>
      </w:pPr>
      <w:r>
        <w:separator/>
      </w:r>
    </w:p>
  </w:endnote>
  <w:endnote w:type="continuationSeparator" w:id="1">
    <w:p w:rsidR="003A0B92" w:rsidRDefault="003A0B92"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AC6CE2">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AC6CE2">
                <w:pPr>
                  <w:pStyle w:val="Rodap"/>
                </w:pPr>
                <w:r>
                  <w:rPr>
                    <w:rStyle w:val="Nmerodepgina"/>
                  </w:rPr>
                  <w:fldChar w:fldCharType="begin"/>
                </w:r>
                <w:r w:rsidR="00535FB7">
                  <w:rPr>
                    <w:rStyle w:val="Nmerodepgina"/>
                  </w:rPr>
                  <w:instrText xml:space="preserve"> PAGE </w:instrText>
                </w:r>
                <w:r>
                  <w:rPr>
                    <w:rStyle w:val="Nmerodepgina"/>
                  </w:rPr>
                  <w:fldChar w:fldCharType="separate"/>
                </w:r>
                <w:r w:rsidR="00AA7945">
                  <w:rPr>
                    <w:rStyle w:val="Nmerodepgina"/>
                    <w:noProof/>
                  </w:rPr>
                  <w:t>8</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92" w:rsidRDefault="003A0B92" w:rsidP="003A0B92">
      <w:pPr>
        <w:spacing w:after="0" w:line="240" w:lineRule="auto"/>
      </w:pPr>
      <w:r>
        <w:separator/>
      </w:r>
    </w:p>
  </w:footnote>
  <w:footnote w:type="continuationSeparator" w:id="1">
    <w:p w:rsidR="003A0B92" w:rsidRDefault="003A0B92"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AC6CE2" w:rsidP="00830B39">
    <w:pPr>
      <w:ind w:left="1134"/>
      <w:rPr>
        <w:sz w:val="20"/>
      </w:rPr>
    </w:pPr>
    <w:r w:rsidRPr="00AC6C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AA7945" w:rsidP="00D60F40">
    <w:pPr>
      <w:ind w:left="851"/>
      <w:rPr>
        <w:b/>
        <w:sz w:val="20"/>
      </w:rPr>
    </w:pPr>
  </w:p>
  <w:p w:rsidR="001F38B2" w:rsidRDefault="00AA794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D7195"/>
    <w:rsid w:val="0022060D"/>
    <w:rsid w:val="00296FA4"/>
    <w:rsid w:val="002A1DDF"/>
    <w:rsid w:val="003A0B92"/>
    <w:rsid w:val="0042001D"/>
    <w:rsid w:val="004A0B2F"/>
    <w:rsid w:val="00535FB7"/>
    <w:rsid w:val="00681C0B"/>
    <w:rsid w:val="007031B7"/>
    <w:rsid w:val="00783F72"/>
    <w:rsid w:val="00790A01"/>
    <w:rsid w:val="00833F82"/>
    <w:rsid w:val="00853CEA"/>
    <w:rsid w:val="00903AFC"/>
    <w:rsid w:val="00991C89"/>
    <w:rsid w:val="009D2091"/>
    <w:rsid w:val="00A64D68"/>
    <w:rsid w:val="00AA7945"/>
    <w:rsid w:val="00AB130B"/>
    <w:rsid w:val="00AC6CE2"/>
    <w:rsid w:val="00B3013D"/>
    <w:rsid w:val="00BF3B19"/>
    <w:rsid w:val="00D37A85"/>
    <w:rsid w:val="00EF5C7E"/>
    <w:rsid w:val="00F54459"/>
    <w:rsid w:val="00FC3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3000</Words>
  <Characters>16201</Characters>
  <Application>Microsoft Office Word</Application>
  <DocSecurity>0</DocSecurity>
  <Lines>135</Lines>
  <Paragraphs>38</Paragraphs>
  <ScaleCrop>false</ScaleCrop>
  <Company>PMJ</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22</cp:revision>
  <dcterms:created xsi:type="dcterms:W3CDTF">2018-04-16T17:10:00Z</dcterms:created>
  <dcterms:modified xsi:type="dcterms:W3CDTF">2018-04-16T17:39:00Z</dcterms:modified>
</cp:coreProperties>
</file>