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DB05C9">
        <w:rPr>
          <w:rFonts w:ascii="Arial" w:hAnsi="Arial" w:cs="Arial"/>
          <w:b/>
          <w:sz w:val="20"/>
          <w:szCs w:val="20"/>
        </w:rPr>
        <w:t>10</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637306" w:rsidRDefault="0042001D" w:rsidP="00637306">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ODONTOMEDI PROD. ODONTOLOG E HOSP. LTDA</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AV. LUIZ ANTONIO FAEDO, 1612 – B. INDUSTRIAL – FRANCISCO BELTRÃO/PR – 85.601-275 – FONE: 46-3524-1834</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06.194.440/0001-03</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ANIMARI TEREZINHA GUIMARÃES</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FLOR DA SERRA DO SUL/PR</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896.860.049-04</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637306" w:rsidP="005E464B">
            <w:pPr>
              <w:autoSpaceDE w:val="0"/>
              <w:autoSpaceDN w:val="0"/>
              <w:adjustRightInd w:val="0"/>
              <w:rPr>
                <w:rFonts w:ascii="Arial" w:hAnsi="Arial" w:cs="Arial"/>
                <w:b/>
                <w:sz w:val="20"/>
                <w:szCs w:val="20"/>
              </w:rPr>
            </w:pPr>
            <w:r>
              <w:rPr>
                <w:rFonts w:ascii="Arial" w:hAnsi="Arial" w:cs="Arial"/>
                <w:b/>
                <w:sz w:val="20"/>
                <w:szCs w:val="20"/>
              </w:rPr>
              <w:t>1.486.527-8</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559"/>
        <w:gridCol w:w="850"/>
        <w:gridCol w:w="1134"/>
      </w:tblGrid>
      <w:tr w:rsidR="0042001D" w:rsidRPr="0042001D" w:rsidTr="00C66425">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559"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proofErr w:type="gramStart"/>
            <w:r w:rsidRPr="0042001D">
              <w:rPr>
                <w:rFonts w:ascii="Arial" w:hAnsi="Arial" w:cs="Arial"/>
                <w:sz w:val="20"/>
                <w:szCs w:val="20"/>
              </w:rPr>
              <w:t>5</w:t>
            </w:r>
            <w:proofErr w:type="gramEnd"/>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Água destilada – galão com 05 litros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3.600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gl</w:t>
            </w:r>
            <w:proofErr w:type="spellEnd"/>
            <w:proofErr w:type="gramEnd"/>
          </w:p>
        </w:tc>
        <w:tc>
          <w:tcPr>
            <w:tcW w:w="1559" w:type="dxa"/>
            <w:vAlign w:val="center"/>
          </w:tcPr>
          <w:p w:rsidR="0042001D" w:rsidRPr="0042001D" w:rsidRDefault="00AB3335" w:rsidP="005E464B">
            <w:pPr>
              <w:snapToGrid w:val="0"/>
              <w:rPr>
                <w:rFonts w:ascii="Arial" w:hAnsi="Arial" w:cs="Arial"/>
                <w:sz w:val="20"/>
                <w:szCs w:val="20"/>
                <w:lang w:val="es-ES_tradnl"/>
              </w:rPr>
            </w:pPr>
            <w:r>
              <w:rPr>
                <w:rFonts w:ascii="Arial" w:hAnsi="Arial" w:cs="Arial"/>
                <w:sz w:val="20"/>
                <w:szCs w:val="20"/>
                <w:lang w:val="es-ES_tradnl"/>
              </w:rPr>
              <w:t>2I</w:t>
            </w:r>
          </w:p>
        </w:tc>
        <w:tc>
          <w:tcPr>
            <w:tcW w:w="850" w:type="dxa"/>
            <w:vAlign w:val="center"/>
          </w:tcPr>
          <w:p w:rsidR="0042001D" w:rsidRPr="0042001D" w:rsidRDefault="00AB3335" w:rsidP="005E464B">
            <w:pPr>
              <w:snapToGrid w:val="0"/>
              <w:jc w:val="right"/>
              <w:rPr>
                <w:rFonts w:ascii="Arial" w:hAnsi="Arial" w:cs="Arial"/>
                <w:sz w:val="20"/>
                <w:szCs w:val="20"/>
                <w:lang w:val="es-ES_tradnl"/>
              </w:rPr>
            </w:pPr>
            <w:r>
              <w:rPr>
                <w:rFonts w:ascii="Arial" w:hAnsi="Arial" w:cs="Arial"/>
                <w:sz w:val="20"/>
                <w:szCs w:val="20"/>
                <w:lang w:val="es-ES_tradnl"/>
              </w:rPr>
              <w:t>5,19</w:t>
            </w:r>
          </w:p>
        </w:tc>
        <w:tc>
          <w:tcPr>
            <w:tcW w:w="1134" w:type="dxa"/>
            <w:vAlign w:val="center"/>
          </w:tcPr>
          <w:p w:rsidR="0042001D" w:rsidRPr="0042001D" w:rsidRDefault="00AB3335" w:rsidP="005E464B">
            <w:pPr>
              <w:snapToGrid w:val="0"/>
              <w:jc w:val="right"/>
              <w:rPr>
                <w:rFonts w:ascii="Arial" w:hAnsi="Arial" w:cs="Arial"/>
                <w:sz w:val="20"/>
                <w:szCs w:val="20"/>
                <w:lang w:val="es-ES_tradnl"/>
              </w:rPr>
            </w:pPr>
            <w:r>
              <w:rPr>
                <w:rFonts w:ascii="Arial" w:hAnsi="Arial" w:cs="Arial"/>
                <w:sz w:val="20"/>
                <w:szCs w:val="20"/>
                <w:lang w:val="es-ES_tradnl"/>
              </w:rPr>
              <w:t>18.684,00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48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Cateter intravenoso periférico nº 16, calibre 16G estéril, descartável, com dispositivo de segurança, confeccionado em </w:t>
            </w:r>
            <w:proofErr w:type="spellStart"/>
            <w:r w:rsidRPr="0042001D">
              <w:rPr>
                <w:rFonts w:ascii="Arial" w:hAnsi="Arial" w:cs="Arial"/>
                <w:sz w:val="20"/>
                <w:szCs w:val="20"/>
              </w:rPr>
              <w:t>vialon</w:t>
            </w:r>
            <w:proofErr w:type="spellEnd"/>
            <w:r w:rsidRPr="0042001D">
              <w:rPr>
                <w:rFonts w:ascii="Arial" w:hAnsi="Arial" w:cs="Arial"/>
                <w:sz w:val="20"/>
                <w:szCs w:val="20"/>
              </w:rPr>
              <w:t xml:space="preserve"> ou poliuretano, flexível, atóxico. Com câmara de refluxo sanguíneo (mandril) em material apropriado que permita rápida visualização do sangue no momento exato da punção. Agulha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com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biangulado</w:t>
            </w:r>
            <w:proofErr w:type="spellEnd"/>
            <w:r w:rsidRPr="0042001D">
              <w:rPr>
                <w:rFonts w:ascii="Arial" w:hAnsi="Arial" w:cs="Arial"/>
                <w:sz w:val="20"/>
                <w:szCs w:val="20"/>
              </w:rPr>
              <w:t xml:space="preserve"> 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com adequada angulação e perfeita afiação, sem rebarbas ou resíduos de manufatura de aço. Com Conector </w:t>
            </w:r>
            <w:proofErr w:type="spellStart"/>
            <w:r w:rsidRPr="0042001D">
              <w:rPr>
                <w:rFonts w:ascii="Arial" w:hAnsi="Arial" w:cs="Arial"/>
                <w:sz w:val="20"/>
                <w:szCs w:val="20"/>
              </w:rPr>
              <w:t>luer-lok</w:t>
            </w:r>
            <w:proofErr w:type="spellEnd"/>
            <w:r w:rsidRPr="0042001D">
              <w:rPr>
                <w:rFonts w:ascii="Arial" w:hAnsi="Arial" w:cs="Arial"/>
                <w:sz w:val="20"/>
                <w:szCs w:val="20"/>
              </w:rPr>
              <w:t xml:space="preserve"> translúcido, codificado em cores com ranhuras para fixação. Possui “</w:t>
            </w:r>
            <w:proofErr w:type="spellStart"/>
            <w:r w:rsidRPr="0042001D">
              <w:rPr>
                <w:rFonts w:ascii="Arial" w:hAnsi="Arial" w:cs="Arial"/>
                <w:sz w:val="20"/>
                <w:szCs w:val="20"/>
              </w:rPr>
              <w:t>notch</w:t>
            </w:r>
            <w:proofErr w:type="spellEnd"/>
            <w:r w:rsidRPr="0042001D">
              <w:rPr>
                <w:rFonts w:ascii="Arial" w:hAnsi="Arial" w:cs="Arial"/>
                <w:sz w:val="20"/>
                <w:szCs w:val="20"/>
              </w:rPr>
              <w:t xml:space="preserve">” (orifício localizado a </w:t>
            </w:r>
            <w:proofErr w:type="gramStart"/>
            <w:r w:rsidRPr="0042001D">
              <w:rPr>
                <w:rFonts w:ascii="Arial" w:hAnsi="Arial" w:cs="Arial"/>
                <w:sz w:val="20"/>
                <w:szCs w:val="20"/>
              </w:rPr>
              <w:t>2</w:t>
            </w:r>
            <w:proofErr w:type="gramEnd"/>
            <w:r w:rsidRPr="0042001D">
              <w:rPr>
                <w:rFonts w:ascii="Arial" w:hAnsi="Arial" w:cs="Arial"/>
                <w:sz w:val="20"/>
                <w:szCs w:val="20"/>
              </w:rPr>
              <w:t xml:space="preserve"> mm do calcanhar, do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da agulha), que possibilita a visualização do refluxo sanguíneo através da parede do cateter. Embalagem individual, abertura em pétala, data e tipo de esterilização e tempo de validade, registro em órgão competente.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B3335" w:rsidP="005E464B">
            <w:pPr>
              <w:snapToGrid w:val="0"/>
              <w:rPr>
                <w:rFonts w:ascii="Arial" w:hAnsi="Arial" w:cs="Arial"/>
                <w:sz w:val="20"/>
                <w:szCs w:val="20"/>
                <w:lang w:val="pt-PT"/>
              </w:rPr>
            </w:pPr>
            <w:r>
              <w:rPr>
                <w:rFonts w:ascii="Arial" w:hAnsi="Arial" w:cs="Arial"/>
                <w:sz w:val="20"/>
                <w:szCs w:val="20"/>
                <w:lang w:val="pt-PT"/>
              </w:rPr>
              <w:t>LABOR IMPORT</w:t>
            </w:r>
          </w:p>
        </w:tc>
        <w:tc>
          <w:tcPr>
            <w:tcW w:w="850" w:type="dxa"/>
            <w:vAlign w:val="center"/>
          </w:tcPr>
          <w:p w:rsidR="0042001D" w:rsidRPr="0042001D" w:rsidRDefault="00AB3335" w:rsidP="005E464B">
            <w:pPr>
              <w:snapToGrid w:val="0"/>
              <w:jc w:val="right"/>
              <w:rPr>
                <w:rFonts w:ascii="Arial" w:hAnsi="Arial" w:cs="Arial"/>
                <w:sz w:val="20"/>
                <w:szCs w:val="20"/>
                <w:lang w:val="pt-PT"/>
              </w:rPr>
            </w:pPr>
            <w:r>
              <w:rPr>
                <w:rFonts w:ascii="Arial" w:hAnsi="Arial" w:cs="Arial"/>
                <w:sz w:val="20"/>
                <w:szCs w:val="20"/>
                <w:lang w:val="pt-PT"/>
              </w:rPr>
              <w:t>1,45</w:t>
            </w:r>
          </w:p>
        </w:tc>
        <w:tc>
          <w:tcPr>
            <w:tcW w:w="1134" w:type="dxa"/>
            <w:vAlign w:val="center"/>
          </w:tcPr>
          <w:p w:rsidR="0042001D" w:rsidRPr="0042001D" w:rsidRDefault="00AB3335" w:rsidP="005E464B">
            <w:pPr>
              <w:snapToGrid w:val="0"/>
              <w:jc w:val="right"/>
              <w:rPr>
                <w:rFonts w:ascii="Arial" w:hAnsi="Arial" w:cs="Arial"/>
                <w:sz w:val="20"/>
                <w:szCs w:val="20"/>
                <w:lang w:val="pt-PT"/>
              </w:rPr>
            </w:pPr>
            <w:r>
              <w:rPr>
                <w:rFonts w:ascii="Arial" w:hAnsi="Arial" w:cs="Arial"/>
                <w:sz w:val="20"/>
                <w:szCs w:val="20"/>
                <w:lang w:val="pt-PT"/>
              </w:rPr>
              <w:t>181,25</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50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Cateter intravenoso periférico nº 20, calibre 20G estéril, descartável, com dispositivo de segurança, confeccionado em </w:t>
            </w:r>
            <w:proofErr w:type="spellStart"/>
            <w:r w:rsidRPr="0042001D">
              <w:rPr>
                <w:rFonts w:ascii="Arial" w:hAnsi="Arial" w:cs="Arial"/>
                <w:sz w:val="20"/>
                <w:szCs w:val="20"/>
              </w:rPr>
              <w:t>vialon</w:t>
            </w:r>
            <w:proofErr w:type="spellEnd"/>
            <w:r w:rsidRPr="0042001D">
              <w:rPr>
                <w:rFonts w:ascii="Arial" w:hAnsi="Arial" w:cs="Arial"/>
                <w:sz w:val="20"/>
                <w:szCs w:val="20"/>
              </w:rPr>
              <w:t xml:space="preserve"> ou poliuretano, flexível, atóxico. Com câmara de refluxo sanguíneo (mandril) em material apropriado que permita rápida visualização do sangue no momento exato da punção. Agulha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com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biangulado</w:t>
            </w:r>
            <w:proofErr w:type="spellEnd"/>
            <w:r w:rsidRPr="0042001D">
              <w:rPr>
                <w:rFonts w:ascii="Arial" w:hAnsi="Arial" w:cs="Arial"/>
                <w:sz w:val="20"/>
                <w:szCs w:val="20"/>
              </w:rPr>
              <w:t xml:space="preserve"> 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com adequada angulação e perfeita afiação, sem rebarbas ou resíduos de manufatura de aço. Com Conector </w:t>
            </w:r>
            <w:proofErr w:type="spellStart"/>
            <w:r w:rsidRPr="0042001D">
              <w:rPr>
                <w:rFonts w:ascii="Arial" w:hAnsi="Arial" w:cs="Arial"/>
                <w:sz w:val="20"/>
                <w:szCs w:val="20"/>
              </w:rPr>
              <w:t>luer-lok</w:t>
            </w:r>
            <w:proofErr w:type="spellEnd"/>
            <w:r w:rsidRPr="0042001D">
              <w:rPr>
                <w:rFonts w:ascii="Arial" w:hAnsi="Arial" w:cs="Arial"/>
                <w:sz w:val="20"/>
                <w:szCs w:val="20"/>
              </w:rPr>
              <w:t xml:space="preserve"> translúcido, codificado em cores com ranhuras para fixação. Possui “</w:t>
            </w:r>
            <w:proofErr w:type="spellStart"/>
            <w:r w:rsidRPr="0042001D">
              <w:rPr>
                <w:rFonts w:ascii="Arial" w:hAnsi="Arial" w:cs="Arial"/>
                <w:sz w:val="20"/>
                <w:szCs w:val="20"/>
              </w:rPr>
              <w:t>notch</w:t>
            </w:r>
            <w:proofErr w:type="spellEnd"/>
            <w:r w:rsidRPr="0042001D">
              <w:rPr>
                <w:rFonts w:ascii="Arial" w:hAnsi="Arial" w:cs="Arial"/>
                <w:sz w:val="20"/>
                <w:szCs w:val="20"/>
              </w:rPr>
              <w:t xml:space="preserve">” (orifício localizado a </w:t>
            </w:r>
            <w:proofErr w:type="gramStart"/>
            <w:r w:rsidRPr="0042001D">
              <w:rPr>
                <w:rFonts w:ascii="Arial" w:hAnsi="Arial" w:cs="Arial"/>
                <w:sz w:val="20"/>
                <w:szCs w:val="20"/>
              </w:rPr>
              <w:t>2</w:t>
            </w:r>
            <w:proofErr w:type="gramEnd"/>
            <w:r w:rsidRPr="0042001D">
              <w:rPr>
                <w:rFonts w:ascii="Arial" w:hAnsi="Arial" w:cs="Arial"/>
                <w:sz w:val="20"/>
                <w:szCs w:val="20"/>
              </w:rPr>
              <w:t xml:space="preserve"> mm do calcanhar, do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da agulha), que possibilita a visualização do refluxo sanguíneo através da parede do cateter. Embalagem individual, abertura em pétala, data e tipo de esterilização e tempo de validade, registro em órgão competente.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B3335" w:rsidP="005E464B">
            <w:pPr>
              <w:snapToGrid w:val="0"/>
              <w:rPr>
                <w:rFonts w:ascii="Arial" w:hAnsi="Arial" w:cs="Arial"/>
                <w:sz w:val="20"/>
                <w:szCs w:val="20"/>
                <w:lang w:val="pt-PT"/>
              </w:rPr>
            </w:pPr>
            <w:r>
              <w:rPr>
                <w:rFonts w:ascii="Arial" w:hAnsi="Arial" w:cs="Arial"/>
                <w:sz w:val="20"/>
                <w:szCs w:val="20"/>
                <w:lang w:val="pt-PT"/>
              </w:rPr>
              <w:t>LABOR IMPORT</w:t>
            </w:r>
          </w:p>
        </w:tc>
        <w:tc>
          <w:tcPr>
            <w:tcW w:w="850" w:type="dxa"/>
            <w:vAlign w:val="center"/>
          </w:tcPr>
          <w:p w:rsidR="0042001D" w:rsidRPr="0042001D" w:rsidRDefault="00AB3335" w:rsidP="005E464B">
            <w:pPr>
              <w:snapToGrid w:val="0"/>
              <w:jc w:val="right"/>
              <w:rPr>
                <w:rFonts w:ascii="Arial" w:hAnsi="Arial" w:cs="Arial"/>
                <w:sz w:val="20"/>
                <w:szCs w:val="20"/>
                <w:lang w:val="pt-PT"/>
              </w:rPr>
            </w:pPr>
            <w:r>
              <w:rPr>
                <w:rFonts w:ascii="Arial" w:hAnsi="Arial" w:cs="Arial"/>
                <w:sz w:val="20"/>
                <w:szCs w:val="20"/>
                <w:lang w:val="pt-PT"/>
              </w:rPr>
              <w:t>1,47</w:t>
            </w:r>
          </w:p>
        </w:tc>
        <w:tc>
          <w:tcPr>
            <w:tcW w:w="1134" w:type="dxa"/>
            <w:vAlign w:val="center"/>
          </w:tcPr>
          <w:p w:rsidR="0042001D" w:rsidRPr="0042001D" w:rsidRDefault="00AB3335" w:rsidP="005E464B">
            <w:pPr>
              <w:snapToGrid w:val="0"/>
              <w:jc w:val="right"/>
              <w:rPr>
                <w:rFonts w:ascii="Arial" w:hAnsi="Arial" w:cs="Arial"/>
                <w:sz w:val="20"/>
                <w:szCs w:val="20"/>
                <w:lang w:val="pt-PT"/>
              </w:rPr>
            </w:pPr>
            <w:r>
              <w:rPr>
                <w:rFonts w:ascii="Arial" w:hAnsi="Arial" w:cs="Arial"/>
                <w:sz w:val="20"/>
                <w:szCs w:val="20"/>
                <w:lang w:val="pt-PT"/>
              </w:rPr>
              <w:t>588,00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51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Cateter intravenoso periférico nº 22, calibre 22G estéril, descartável, com dispositivo de segurança, confeccionado em </w:t>
            </w:r>
            <w:proofErr w:type="spellStart"/>
            <w:r w:rsidRPr="0042001D">
              <w:rPr>
                <w:rFonts w:ascii="Arial" w:hAnsi="Arial" w:cs="Arial"/>
                <w:sz w:val="20"/>
                <w:szCs w:val="20"/>
              </w:rPr>
              <w:t>vialon</w:t>
            </w:r>
            <w:proofErr w:type="spellEnd"/>
            <w:r w:rsidRPr="0042001D">
              <w:rPr>
                <w:rFonts w:ascii="Arial" w:hAnsi="Arial" w:cs="Arial"/>
                <w:sz w:val="20"/>
                <w:szCs w:val="20"/>
              </w:rPr>
              <w:t xml:space="preserve"> ou poliuretano, flexível, atóxico. Com câmara de refluxo sanguíneo (mandril) em material apropriado que permita rápida visualização do sangue no momento exato da punção. Agulha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com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biangulado</w:t>
            </w:r>
            <w:proofErr w:type="spellEnd"/>
            <w:r w:rsidRPr="0042001D">
              <w:rPr>
                <w:rFonts w:ascii="Arial" w:hAnsi="Arial" w:cs="Arial"/>
                <w:sz w:val="20"/>
                <w:szCs w:val="20"/>
              </w:rPr>
              <w:t xml:space="preserve"> 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com adequada angulação e perfeita afiação, sem rebarbas ou resíduos de manufatura de aço. Com Conector </w:t>
            </w:r>
            <w:proofErr w:type="spellStart"/>
            <w:r w:rsidRPr="0042001D">
              <w:rPr>
                <w:rFonts w:ascii="Arial" w:hAnsi="Arial" w:cs="Arial"/>
                <w:sz w:val="20"/>
                <w:szCs w:val="20"/>
              </w:rPr>
              <w:t>luer-lok</w:t>
            </w:r>
            <w:proofErr w:type="spellEnd"/>
            <w:r w:rsidRPr="0042001D">
              <w:rPr>
                <w:rFonts w:ascii="Arial" w:hAnsi="Arial" w:cs="Arial"/>
                <w:sz w:val="20"/>
                <w:szCs w:val="20"/>
              </w:rPr>
              <w:t xml:space="preserve"> translúcido, codificado em cores com ranhuras para fixação. Possui “</w:t>
            </w:r>
            <w:proofErr w:type="spellStart"/>
            <w:r w:rsidRPr="0042001D">
              <w:rPr>
                <w:rFonts w:ascii="Arial" w:hAnsi="Arial" w:cs="Arial"/>
                <w:sz w:val="20"/>
                <w:szCs w:val="20"/>
              </w:rPr>
              <w:t>notch</w:t>
            </w:r>
            <w:proofErr w:type="spellEnd"/>
            <w:r w:rsidRPr="0042001D">
              <w:rPr>
                <w:rFonts w:ascii="Arial" w:hAnsi="Arial" w:cs="Arial"/>
                <w:sz w:val="20"/>
                <w:szCs w:val="20"/>
              </w:rPr>
              <w:t xml:space="preserve">” (orifício localizado a </w:t>
            </w:r>
            <w:proofErr w:type="gramStart"/>
            <w:r w:rsidRPr="0042001D">
              <w:rPr>
                <w:rFonts w:ascii="Arial" w:hAnsi="Arial" w:cs="Arial"/>
                <w:sz w:val="20"/>
                <w:szCs w:val="20"/>
              </w:rPr>
              <w:t>2</w:t>
            </w:r>
            <w:proofErr w:type="gramEnd"/>
            <w:r w:rsidRPr="0042001D">
              <w:rPr>
                <w:rFonts w:ascii="Arial" w:hAnsi="Arial" w:cs="Arial"/>
                <w:sz w:val="20"/>
                <w:szCs w:val="20"/>
              </w:rPr>
              <w:t xml:space="preserve"> mm do calcanhar, do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da agulha), que possibilita a visualização do refluxo sanguíneo através da parede do cateter. Embalagem individual, abertura em pétala, data e tipo de esterilização e tempo de validade, registro em órgão competente.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B3335" w:rsidP="005E464B">
            <w:pPr>
              <w:snapToGrid w:val="0"/>
              <w:rPr>
                <w:rFonts w:ascii="Arial" w:hAnsi="Arial" w:cs="Arial"/>
                <w:sz w:val="20"/>
                <w:szCs w:val="20"/>
                <w:lang w:val="pt-PT"/>
              </w:rPr>
            </w:pPr>
            <w:r>
              <w:rPr>
                <w:rFonts w:ascii="Arial" w:hAnsi="Arial" w:cs="Arial"/>
                <w:sz w:val="20"/>
                <w:szCs w:val="20"/>
                <w:lang w:val="pt-PT"/>
              </w:rPr>
              <w:t>LABOR IMPORT</w:t>
            </w:r>
          </w:p>
        </w:tc>
        <w:tc>
          <w:tcPr>
            <w:tcW w:w="850" w:type="dxa"/>
            <w:vAlign w:val="center"/>
          </w:tcPr>
          <w:p w:rsidR="0042001D" w:rsidRPr="0042001D" w:rsidRDefault="00AB3335" w:rsidP="005E464B">
            <w:pPr>
              <w:snapToGrid w:val="0"/>
              <w:jc w:val="right"/>
              <w:rPr>
                <w:rFonts w:ascii="Arial" w:hAnsi="Arial" w:cs="Arial"/>
                <w:sz w:val="20"/>
                <w:szCs w:val="20"/>
                <w:lang w:val="pt-PT"/>
              </w:rPr>
            </w:pPr>
            <w:r>
              <w:rPr>
                <w:rFonts w:ascii="Arial" w:hAnsi="Arial" w:cs="Arial"/>
                <w:sz w:val="20"/>
                <w:szCs w:val="20"/>
                <w:lang w:val="pt-PT"/>
              </w:rPr>
              <w:t>1,42</w:t>
            </w:r>
          </w:p>
        </w:tc>
        <w:tc>
          <w:tcPr>
            <w:tcW w:w="1134" w:type="dxa"/>
            <w:vAlign w:val="center"/>
          </w:tcPr>
          <w:p w:rsidR="0042001D" w:rsidRPr="0042001D" w:rsidRDefault="00AB3335" w:rsidP="005E464B">
            <w:pPr>
              <w:snapToGrid w:val="0"/>
              <w:jc w:val="right"/>
              <w:rPr>
                <w:rFonts w:ascii="Arial" w:hAnsi="Arial" w:cs="Arial"/>
                <w:sz w:val="20"/>
                <w:szCs w:val="20"/>
                <w:lang w:val="pt-PT"/>
              </w:rPr>
            </w:pPr>
            <w:r>
              <w:rPr>
                <w:rFonts w:ascii="Arial" w:hAnsi="Arial" w:cs="Arial"/>
                <w:sz w:val="20"/>
                <w:szCs w:val="20"/>
                <w:lang w:val="pt-PT"/>
              </w:rPr>
              <w:t>568,00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79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Curativo cirúrgico estéril (chumaço), 10 x 15, 100% algodão, esterilizado por </w:t>
            </w:r>
            <w:proofErr w:type="spellStart"/>
            <w:proofErr w:type="gramStart"/>
            <w:r w:rsidRPr="0042001D">
              <w:rPr>
                <w:rFonts w:ascii="Arial" w:hAnsi="Arial" w:cs="Arial"/>
                <w:sz w:val="20"/>
                <w:szCs w:val="20"/>
              </w:rPr>
              <w:t>E.T.</w:t>
            </w:r>
            <w:proofErr w:type="spellEnd"/>
            <w:proofErr w:type="gramEnd"/>
            <w:r w:rsidRPr="0042001D">
              <w:rPr>
                <w:rFonts w:ascii="Arial" w:hAnsi="Arial" w:cs="Arial"/>
                <w:sz w:val="20"/>
                <w:szCs w:val="20"/>
              </w:rPr>
              <w:t xml:space="preserve">O, pronto uso, super absorvente.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03B52" w:rsidP="005E464B">
            <w:pPr>
              <w:snapToGrid w:val="0"/>
              <w:rPr>
                <w:rFonts w:ascii="Arial" w:hAnsi="Arial" w:cs="Arial"/>
                <w:sz w:val="20"/>
                <w:szCs w:val="20"/>
                <w:lang w:val="pt-PT"/>
              </w:rPr>
            </w:pPr>
            <w:r>
              <w:rPr>
                <w:rFonts w:ascii="Arial" w:hAnsi="Arial" w:cs="Arial"/>
                <w:sz w:val="20"/>
                <w:szCs w:val="20"/>
                <w:lang w:val="pt-PT"/>
              </w:rPr>
              <w:t>MELHORMED</w:t>
            </w:r>
          </w:p>
        </w:tc>
        <w:tc>
          <w:tcPr>
            <w:tcW w:w="850" w:type="dxa"/>
            <w:vAlign w:val="center"/>
          </w:tcPr>
          <w:p w:rsidR="0042001D" w:rsidRPr="0042001D" w:rsidRDefault="00D03B52" w:rsidP="005E464B">
            <w:pPr>
              <w:snapToGrid w:val="0"/>
              <w:jc w:val="right"/>
              <w:rPr>
                <w:rFonts w:ascii="Arial" w:hAnsi="Arial" w:cs="Arial"/>
                <w:sz w:val="20"/>
                <w:szCs w:val="20"/>
                <w:lang w:val="pt-PT"/>
              </w:rPr>
            </w:pPr>
            <w:r>
              <w:rPr>
                <w:rFonts w:ascii="Arial" w:hAnsi="Arial" w:cs="Arial"/>
                <w:sz w:val="20"/>
                <w:szCs w:val="20"/>
                <w:lang w:val="pt-PT"/>
              </w:rPr>
              <w:t>0,92</w:t>
            </w:r>
          </w:p>
        </w:tc>
        <w:tc>
          <w:tcPr>
            <w:tcW w:w="1134" w:type="dxa"/>
            <w:vAlign w:val="center"/>
          </w:tcPr>
          <w:p w:rsidR="0042001D" w:rsidRPr="0042001D" w:rsidRDefault="00D03B52" w:rsidP="005E464B">
            <w:pPr>
              <w:snapToGrid w:val="0"/>
              <w:jc w:val="right"/>
              <w:rPr>
                <w:rFonts w:ascii="Arial" w:hAnsi="Arial" w:cs="Arial"/>
                <w:sz w:val="20"/>
                <w:szCs w:val="20"/>
                <w:lang w:val="pt-PT"/>
              </w:rPr>
            </w:pPr>
            <w:r>
              <w:rPr>
                <w:rFonts w:ascii="Arial" w:hAnsi="Arial" w:cs="Arial"/>
                <w:sz w:val="20"/>
                <w:szCs w:val="20"/>
                <w:lang w:val="pt-PT"/>
              </w:rPr>
              <w:t>644,00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86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Dispositivo de punção venosa - </w:t>
            </w:r>
            <w:proofErr w:type="spellStart"/>
            <w:r w:rsidRPr="0042001D">
              <w:rPr>
                <w:rFonts w:ascii="Arial" w:hAnsi="Arial" w:cs="Arial"/>
                <w:sz w:val="20"/>
                <w:szCs w:val="20"/>
              </w:rPr>
              <w:t>Scalp</w:t>
            </w:r>
            <w:proofErr w:type="spellEnd"/>
            <w:r w:rsidRPr="0042001D">
              <w:rPr>
                <w:rFonts w:ascii="Arial" w:hAnsi="Arial" w:cs="Arial"/>
                <w:sz w:val="20"/>
                <w:szCs w:val="20"/>
              </w:rPr>
              <w:t xml:space="preserve"> nº 21.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E3CFD" w:rsidP="005E464B">
            <w:pPr>
              <w:snapToGrid w:val="0"/>
              <w:rPr>
                <w:rFonts w:ascii="Arial" w:hAnsi="Arial" w:cs="Arial"/>
                <w:sz w:val="20"/>
                <w:szCs w:val="20"/>
                <w:lang w:val="pt-PT"/>
              </w:rPr>
            </w:pPr>
            <w:r>
              <w:rPr>
                <w:rFonts w:ascii="Arial" w:hAnsi="Arial" w:cs="Arial"/>
                <w:sz w:val="20"/>
                <w:szCs w:val="20"/>
                <w:lang w:val="pt-PT"/>
              </w:rPr>
              <w:t>LABOR IMPORT</w:t>
            </w:r>
          </w:p>
        </w:tc>
        <w:tc>
          <w:tcPr>
            <w:tcW w:w="850" w:type="dxa"/>
            <w:vAlign w:val="center"/>
          </w:tcPr>
          <w:p w:rsidR="0042001D" w:rsidRPr="0042001D" w:rsidRDefault="006E3CFD" w:rsidP="005E464B">
            <w:pPr>
              <w:snapToGrid w:val="0"/>
              <w:jc w:val="right"/>
              <w:rPr>
                <w:rFonts w:ascii="Arial" w:hAnsi="Arial" w:cs="Arial"/>
                <w:sz w:val="20"/>
                <w:szCs w:val="20"/>
                <w:lang w:val="pt-PT"/>
              </w:rPr>
            </w:pPr>
            <w:r>
              <w:rPr>
                <w:rFonts w:ascii="Arial" w:hAnsi="Arial" w:cs="Arial"/>
                <w:sz w:val="20"/>
                <w:szCs w:val="20"/>
                <w:lang w:val="pt-PT"/>
              </w:rPr>
              <w:t>0,15</w:t>
            </w:r>
          </w:p>
        </w:tc>
        <w:tc>
          <w:tcPr>
            <w:tcW w:w="1134" w:type="dxa"/>
            <w:vAlign w:val="center"/>
          </w:tcPr>
          <w:p w:rsidR="0042001D" w:rsidRPr="0042001D" w:rsidRDefault="006E3CFD" w:rsidP="005E464B">
            <w:pPr>
              <w:snapToGrid w:val="0"/>
              <w:jc w:val="right"/>
              <w:rPr>
                <w:rFonts w:ascii="Arial" w:hAnsi="Arial" w:cs="Arial"/>
                <w:sz w:val="20"/>
                <w:szCs w:val="20"/>
                <w:lang w:val="pt-PT"/>
              </w:rPr>
            </w:pPr>
            <w:r>
              <w:rPr>
                <w:rFonts w:ascii="Arial" w:hAnsi="Arial" w:cs="Arial"/>
                <w:sz w:val="20"/>
                <w:szCs w:val="20"/>
                <w:lang w:val="pt-PT"/>
              </w:rPr>
              <w:t>22,50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88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Dispositivo de punção venosa - </w:t>
            </w:r>
            <w:proofErr w:type="spellStart"/>
            <w:r w:rsidRPr="0042001D">
              <w:rPr>
                <w:rFonts w:ascii="Arial" w:hAnsi="Arial" w:cs="Arial"/>
                <w:sz w:val="20"/>
                <w:szCs w:val="20"/>
              </w:rPr>
              <w:t>Scalp</w:t>
            </w:r>
            <w:proofErr w:type="spellEnd"/>
            <w:r w:rsidRPr="0042001D">
              <w:rPr>
                <w:rFonts w:ascii="Arial" w:hAnsi="Arial" w:cs="Arial"/>
                <w:sz w:val="20"/>
                <w:szCs w:val="20"/>
              </w:rPr>
              <w:t xml:space="preserve"> nº 25.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E3CFD" w:rsidP="005E464B">
            <w:pPr>
              <w:snapToGrid w:val="0"/>
              <w:rPr>
                <w:rFonts w:ascii="Arial" w:hAnsi="Arial" w:cs="Arial"/>
                <w:sz w:val="20"/>
                <w:szCs w:val="20"/>
                <w:lang w:val="pt-PT"/>
              </w:rPr>
            </w:pPr>
            <w:r>
              <w:rPr>
                <w:rFonts w:ascii="Arial" w:hAnsi="Arial" w:cs="Arial"/>
                <w:sz w:val="20"/>
                <w:szCs w:val="20"/>
                <w:lang w:val="pt-PT"/>
              </w:rPr>
              <w:t>LAMEDID</w:t>
            </w:r>
          </w:p>
        </w:tc>
        <w:tc>
          <w:tcPr>
            <w:tcW w:w="850" w:type="dxa"/>
            <w:vAlign w:val="center"/>
          </w:tcPr>
          <w:p w:rsidR="0042001D" w:rsidRPr="0042001D" w:rsidRDefault="006E3CFD" w:rsidP="005E464B">
            <w:pPr>
              <w:snapToGrid w:val="0"/>
              <w:jc w:val="right"/>
              <w:rPr>
                <w:rFonts w:ascii="Arial" w:hAnsi="Arial" w:cs="Arial"/>
                <w:sz w:val="20"/>
                <w:szCs w:val="20"/>
                <w:lang w:val="pt-PT"/>
              </w:rPr>
            </w:pPr>
            <w:r>
              <w:rPr>
                <w:rFonts w:ascii="Arial" w:hAnsi="Arial" w:cs="Arial"/>
                <w:sz w:val="20"/>
                <w:szCs w:val="20"/>
                <w:lang w:val="pt-PT"/>
              </w:rPr>
              <w:t>0,159</w:t>
            </w:r>
          </w:p>
        </w:tc>
        <w:tc>
          <w:tcPr>
            <w:tcW w:w="1134" w:type="dxa"/>
            <w:vAlign w:val="center"/>
          </w:tcPr>
          <w:p w:rsidR="0042001D" w:rsidRPr="0042001D" w:rsidRDefault="006E3CFD" w:rsidP="005E464B">
            <w:pPr>
              <w:snapToGrid w:val="0"/>
              <w:jc w:val="right"/>
              <w:rPr>
                <w:rFonts w:ascii="Arial" w:hAnsi="Arial" w:cs="Arial"/>
                <w:sz w:val="20"/>
                <w:szCs w:val="20"/>
                <w:lang w:val="pt-PT"/>
              </w:rPr>
            </w:pPr>
            <w:r>
              <w:rPr>
                <w:rFonts w:ascii="Arial" w:hAnsi="Arial" w:cs="Arial"/>
                <w:sz w:val="20"/>
                <w:szCs w:val="20"/>
                <w:lang w:val="pt-PT"/>
              </w:rPr>
              <w:t>23,85</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89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Dispositivo de punção venosa - </w:t>
            </w:r>
            <w:proofErr w:type="spellStart"/>
            <w:r w:rsidRPr="0042001D">
              <w:rPr>
                <w:rFonts w:ascii="Arial" w:hAnsi="Arial" w:cs="Arial"/>
                <w:sz w:val="20"/>
                <w:szCs w:val="20"/>
              </w:rPr>
              <w:t>Scalp</w:t>
            </w:r>
            <w:proofErr w:type="spellEnd"/>
            <w:r w:rsidRPr="0042001D">
              <w:rPr>
                <w:rFonts w:ascii="Arial" w:hAnsi="Arial" w:cs="Arial"/>
                <w:sz w:val="20"/>
                <w:szCs w:val="20"/>
              </w:rPr>
              <w:t xml:space="preserve"> nº 27.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6E3CFD" w:rsidP="005E464B">
            <w:pPr>
              <w:snapToGrid w:val="0"/>
              <w:rPr>
                <w:rFonts w:ascii="Arial" w:hAnsi="Arial" w:cs="Arial"/>
                <w:sz w:val="20"/>
                <w:szCs w:val="20"/>
                <w:lang w:val="pt-PT"/>
              </w:rPr>
            </w:pPr>
            <w:r>
              <w:rPr>
                <w:rFonts w:ascii="Arial" w:hAnsi="Arial" w:cs="Arial"/>
                <w:sz w:val="20"/>
                <w:szCs w:val="20"/>
                <w:lang w:val="pt-PT"/>
              </w:rPr>
              <w:t>LABOR IMPORT</w:t>
            </w:r>
          </w:p>
        </w:tc>
        <w:tc>
          <w:tcPr>
            <w:tcW w:w="850" w:type="dxa"/>
            <w:vAlign w:val="center"/>
          </w:tcPr>
          <w:p w:rsidR="0042001D" w:rsidRPr="0042001D" w:rsidRDefault="006E3CFD" w:rsidP="005E464B">
            <w:pPr>
              <w:snapToGrid w:val="0"/>
              <w:jc w:val="right"/>
              <w:rPr>
                <w:rFonts w:ascii="Arial" w:hAnsi="Arial" w:cs="Arial"/>
                <w:sz w:val="20"/>
                <w:szCs w:val="20"/>
                <w:lang w:val="pt-PT"/>
              </w:rPr>
            </w:pPr>
            <w:r>
              <w:rPr>
                <w:rFonts w:ascii="Arial" w:hAnsi="Arial" w:cs="Arial"/>
                <w:sz w:val="20"/>
                <w:szCs w:val="20"/>
                <w:lang w:val="pt-PT"/>
              </w:rPr>
              <w:t>0,15</w:t>
            </w:r>
          </w:p>
        </w:tc>
        <w:tc>
          <w:tcPr>
            <w:tcW w:w="1134" w:type="dxa"/>
            <w:vAlign w:val="center"/>
          </w:tcPr>
          <w:p w:rsidR="0042001D" w:rsidRPr="0042001D" w:rsidRDefault="006E3CFD" w:rsidP="005E464B">
            <w:pPr>
              <w:snapToGrid w:val="0"/>
              <w:jc w:val="right"/>
              <w:rPr>
                <w:rFonts w:ascii="Arial" w:hAnsi="Arial" w:cs="Arial"/>
                <w:sz w:val="20"/>
                <w:szCs w:val="20"/>
                <w:lang w:val="pt-PT"/>
              </w:rPr>
            </w:pPr>
            <w:r>
              <w:rPr>
                <w:rFonts w:ascii="Arial" w:hAnsi="Arial" w:cs="Arial"/>
                <w:sz w:val="20"/>
                <w:szCs w:val="20"/>
                <w:lang w:val="pt-PT"/>
              </w:rPr>
              <w:t>15,00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98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Equipo para administração exclusiva de dietas </w:t>
            </w:r>
            <w:proofErr w:type="spellStart"/>
            <w:r w:rsidRPr="0042001D">
              <w:rPr>
                <w:rFonts w:ascii="Arial" w:hAnsi="Arial" w:cs="Arial"/>
                <w:sz w:val="20"/>
                <w:szCs w:val="20"/>
              </w:rPr>
              <w:t>enterais</w:t>
            </w:r>
            <w:proofErr w:type="spellEnd"/>
            <w:r w:rsidRPr="0042001D">
              <w:rPr>
                <w:rFonts w:ascii="Arial" w:hAnsi="Arial" w:cs="Arial"/>
                <w:sz w:val="20"/>
                <w:szCs w:val="20"/>
              </w:rPr>
              <w:t xml:space="preserve"> com tubo de PVC na cor azul que indica exclusividade para nutrição </w:t>
            </w:r>
            <w:proofErr w:type="spellStart"/>
            <w:r w:rsidRPr="0042001D">
              <w:rPr>
                <w:rFonts w:ascii="Arial" w:hAnsi="Arial" w:cs="Arial"/>
                <w:sz w:val="20"/>
                <w:szCs w:val="20"/>
              </w:rPr>
              <w:t>enteral</w:t>
            </w:r>
            <w:proofErr w:type="spellEnd"/>
            <w:r w:rsidRPr="0042001D">
              <w:rPr>
                <w:rFonts w:ascii="Arial" w:hAnsi="Arial" w:cs="Arial"/>
                <w:sz w:val="20"/>
                <w:szCs w:val="20"/>
              </w:rPr>
              <w:t xml:space="preserve">, com controlador de fluxo (gotejamento) tipo pinça rolete, estéril, atóxico e </w:t>
            </w:r>
            <w:proofErr w:type="spellStart"/>
            <w:r w:rsidRPr="0042001D">
              <w:rPr>
                <w:rFonts w:ascii="Arial" w:hAnsi="Arial" w:cs="Arial"/>
                <w:sz w:val="20"/>
                <w:szCs w:val="20"/>
              </w:rPr>
              <w:t>apirogênico</w:t>
            </w:r>
            <w:proofErr w:type="spellEnd"/>
            <w:r w:rsidRPr="0042001D">
              <w:rPr>
                <w:rFonts w:ascii="Arial" w:hAnsi="Arial" w:cs="Arial"/>
                <w:sz w:val="20"/>
                <w:szCs w:val="20"/>
              </w:rPr>
              <w:t>. Registro na ANVISA e no MS.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66425" w:rsidP="005E464B">
            <w:pPr>
              <w:snapToGrid w:val="0"/>
              <w:rPr>
                <w:rFonts w:ascii="Arial" w:hAnsi="Arial" w:cs="Arial"/>
                <w:sz w:val="20"/>
                <w:szCs w:val="20"/>
                <w:lang w:val="pt-PT"/>
              </w:rPr>
            </w:pPr>
            <w:r>
              <w:rPr>
                <w:rFonts w:ascii="Arial" w:hAnsi="Arial" w:cs="Arial"/>
                <w:sz w:val="20"/>
                <w:szCs w:val="20"/>
                <w:lang w:val="pt-PT"/>
              </w:rPr>
              <w:t>DESCARPACK</w:t>
            </w:r>
          </w:p>
        </w:tc>
        <w:tc>
          <w:tcPr>
            <w:tcW w:w="850"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0,69</w:t>
            </w:r>
          </w:p>
        </w:tc>
        <w:tc>
          <w:tcPr>
            <w:tcW w:w="1134"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1.035,00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116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Fio </w:t>
            </w:r>
            <w:proofErr w:type="spellStart"/>
            <w:r w:rsidRPr="0042001D">
              <w:rPr>
                <w:rFonts w:ascii="Arial" w:hAnsi="Arial" w:cs="Arial"/>
                <w:sz w:val="20"/>
                <w:szCs w:val="20"/>
              </w:rPr>
              <w:t>catgut</w:t>
            </w:r>
            <w:proofErr w:type="spellEnd"/>
            <w:r w:rsidRPr="0042001D">
              <w:rPr>
                <w:rFonts w:ascii="Arial" w:hAnsi="Arial" w:cs="Arial"/>
                <w:sz w:val="20"/>
                <w:szCs w:val="20"/>
              </w:rPr>
              <w:t xml:space="preserve"> absorvível agulhado estéril nº 5.0 - com 24 unidades.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C66425" w:rsidP="005E464B">
            <w:pPr>
              <w:snapToGrid w:val="0"/>
              <w:rPr>
                <w:rFonts w:ascii="Arial" w:hAnsi="Arial" w:cs="Arial"/>
                <w:sz w:val="20"/>
                <w:szCs w:val="20"/>
                <w:lang w:val="pt-PT"/>
              </w:rPr>
            </w:pPr>
            <w:r>
              <w:rPr>
                <w:rFonts w:ascii="Arial" w:hAnsi="Arial" w:cs="Arial"/>
                <w:sz w:val="20"/>
                <w:szCs w:val="20"/>
                <w:lang w:val="pt-PT"/>
              </w:rPr>
              <w:t>TECHNOFIO</w:t>
            </w:r>
          </w:p>
        </w:tc>
        <w:tc>
          <w:tcPr>
            <w:tcW w:w="850"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72,65</w:t>
            </w:r>
          </w:p>
        </w:tc>
        <w:tc>
          <w:tcPr>
            <w:tcW w:w="1134"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1.453,00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120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Fio Mono nylon agulhado estéril nº 2.0 - com 24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C66425" w:rsidP="005E464B">
            <w:pPr>
              <w:snapToGrid w:val="0"/>
              <w:rPr>
                <w:rFonts w:ascii="Arial" w:hAnsi="Arial" w:cs="Arial"/>
                <w:sz w:val="20"/>
                <w:szCs w:val="20"/>
                <w:lang w:val="pt-PT"/>
              </w:rPr>
            </w:pPr>
            <w:r>
              <w:rPr>
                <w:rFonts w:ascii="Arial" w:hAnsi="Arial" w:cs="Arial"/>
                <w:sz w:val="20"/>
                <w:szCs w:val="20"/>
                <w:lang w:val="pt-PT"/>
              </w:rPr>
              <w:t>PROCARE</w:t>
            </w:r>
          </w:p>
        </w:tc>
        <w:tc>
          <w:tcPr>
            <w:tcW w:w="850"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20,35</w:t>
            </w:r>
          </w:p>
        </w:tc>
        <w:tc>
          <w:tcPr>
            <w:tcW w:w="1134"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508,75</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124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Fio Mono nylon agulhado estéril nº 6.0 - com 24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C66425" w:rsidP="005E464B">
            <w:pPr>
              <w:snapToGrid w:val="0"/>
              <w:rPr>
                <w:rFonts w:ascii="Arial" w:hAnsi="Arial" w:cs="Arial"/>
                <w:sz w:val="20"/>
                <w:szCs w:val="20"/>
                <w:lang w:val="pt-PT"/>
              </w:rPr>
            </w:pPr>
            <w:r>
              <w:rPr>
                <w:rFonts w:ascii="Arial" w:hAnsi="Arial" w:cs="Arial"/>
                <w:sz w:val="20"/>
                <w:szCs w:val="20"/>
                <w:lang w:val="pt-PT"/>
              </w:rPr>
              <w:t>PROCARE</w:t>
            </w:r>
          </w:p>
        </w:tc>
        <w:tc>
          <w:tcPr>
            <w:tcW w:w="850"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22,45</w:t>
            </w:r>
          </w:p>
        </w:tc>
        <w:tc>
          <w:tcPr>
            <w:tcW w:w="1134" w:type="dxa"/>
            <w:vAlign w:val="center"/>
          </w:tcPr>
          <w:p w:rsidR="0042001D" w:rsidRPr="0042001D" w:rsidRDefault="00C66425" w:rsidP="005E464B">
            <w:pPr>
              <w:snapToGrid w:val="0"/>
              <w:jc w:val="right"/>
              <w:rPr>
                <w:rFonts w:ascii="Arial" w:hAnsi="Arial" w:cs="Arial"/>
                <w:sz w:val="20"/>
                <w:szCs w:val="20"/>
                <w:lang w:val="pt-PT"/>
              </w:rPr>
            </w:pPr>
            <w:r>
              <w:rPr>
                <w:rFonts w:ascii="Arial" w:hAnsi="Arial" w:cs="Arial"/>
                <w:sz w:val="20"/>
                <w:szCs w:val="20"/>
                <w:lang w:val="pt-PT"/>
              </w:rPr>
              <w:t>561,25</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129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Fixador citológico em spray, com propriedades de fixação e sustentação da integridade celular de esfregaços de material biológico estendidos em lâmina de </w:t>
            </w:r>
            <w:proofErr w:type="gramStart"/>
            <w:r w:rsidRPr="0042001D">
              <w:rPr>
                <w:rFonts w:ascii="Arial" w:hAnsi="Arial" w:cs="Arial"/>
                <w:sz w:val="20"/>
                <w:szCs w:val="20"/>
              </w:rPr>
              <w:t>vidro.</w:t>
            </w:r>
            <w:proofErr w:type="gramEnd"/>
            <w:r w:rsidRPr="0042001D">
              <w:rPr>
                <w:rFonts w:ascii="Arial" w:hAnsi="Arial" w:cs="Arial"/>
                <w:sz w:val="20"/>
                <w:szCs w:val="20"/>
              </w:rPr>
              <w:t>Com 100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75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fco</w:t>
            </w:r>
            <w:proofErr w:type="spellEnd"/>
            <w:proofErr w:type="gramEnd"/>
          </w:p>
        </w:tc>
        <w:tc>
          <w:tcPr>
            <w:tcW w:w="1559" w:type="dxa"/>
            <w:vAlign w:val="center"/>
          </w:tcPr>
          <w:p w:rsidR="0042001D" w:rsidRPr="0042001D" w:rsidRDefault="001E17B0" w:rsidP="005E464B">
            <w:pPr>
              <w:snapToGrid w:val="0"/>
              <w:rPr>
                <w:rFonts w:ascii="Arial" w:hAnsi="Arial" w:cs="Arial"/>
                <w:sz w:val="20"/>
                <w:szCs w:val="20"/>
                <w:lang w:val="pt-PT"/>
              </w:rPr>
            </w:pPr>
            <w:r>
              <w:rPr>
                <w:rFonts w:ascii="Arial" w:hAnsi="Arial" w:cs="Arial"/>
                <w:sz w:val="20"/>
                <w:szCs w:val="20"/>
                <w:lang w:val="pt-PT"/>
              </w:rPr>
              <w:t>ADLIN</w:t>
            </w:r>
          </w:p>
        </w:tc>
        <w:tc>
          <w:tcPr>
            <w:tcW w:w="850" w:type="dxa"/>
            <w:vAlign w:val="center"/>
          </w:tcPr>
          <w:p w:rsidR="0042001D" w:rsidRPr="0042001D" w:rsidRDefault="001E17B0" w:rsidP="005E464B">
            <w:pPr>
              <w:snapToGrid w:val="0"/>
              <w:jc w:val="right"/>
              <w:rPr>
                <w:rFonts w:ascii="Arial" w:hAnsi="Arial" w:cs="Arial"/>
                <w:sz w:val="20"/>
                <w:szCs w:val="20"/>
                <w:lang w:val="pt-PT"/>
              </w:rPr>
            </w:pPr>
            <w:r>
              <w:rPr>
                <w:rFonts w:ascii="Arial" w:hAnsi="Arial" w:cs="Arial"/>
                <w:sz w:val="20"/>
                <w:szCs w:val="20"/>
                <w:lang w:val="pt-PT"/>
              </w:rPr>
              <w:t>5,17</w:t>
            </w:r>
          </w:p>
        </w:tc>
        <w:tc>
          <w:tcPr>
            <w:tcW w:w="1134" w:type="dxa"/>
            <w:vAlign w:val="center"/>
          </w:tcPr>
          <w:p w:rsidR="0042001D" w:rsidRPr="0042001D" w:rsidRDefault="001E17B0" w:rsidP="005E464B">
            <w:pPr>
              <w:snapToGrid w:val="0"/>
              <w:jc w:val="right"/>
              <w:rPr>
                <w:rFonts w:ascii="Arial" w:hAnsi="Arial" w:cs="Arial"/>
                <w:sz w:val="20"/>
                <w:szCs w:val="20"/>
                <w:lang w:val="pt-PT"/>
              </w:rPr>
            </w:pPr>
            <w:r>
              <w:rPr>
                <w:rFonts w:ascii="Arial" w:hAnsi="Arial" w:cs="Arial"/>
                <w:sz w:val="20"/>
                <w:szCs w:val="20"/>
                <w:lang w:val="pt-PT"/>
              </w:rPr>
              <w:t>387,75</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131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Frasco plástico 300 ml para alimentação </w:t>
            </w:r>
            <w:proofErr w:type="spellStart"/>
            <w:r w:rsidRPr="0042001D">
              <w:rPr>
                <w:rFonts w:ascii="Arial" w:hAnsi="Arial" w:cs="Arial"/>
                <w:sz w:val="20"/>
                <w:szCs w:val="20"/>
              </w:rPr>
              <w:t>enteral</w:t>
            </w:r>
            <w:proofErr w:type="spellEnd"/>
            <w:r w:rsidRPr="0042001D">
              <w:rPr>
                <w:rFonts w:ascii="Arial" w:hAnsi="Arial" w:cs="Arial"/>
                <w:sz w:val="20"/>
                <w:szCs w:val="20"/>
              </w:rPr>
              <w:t xml:space="preserve"> não estéril – </w:t>
            </w:r>
            <w:proofErr w:type="spellStart"/>
            <w:r w:rsidRPr="0042001D">
              <w:rPr>
                <w:rFonts w:ascii="Arial" w:hAnsi="Arial" w:cs="Arial"/>
                <w:sz w:val="20"/>
                <w:szCs w:val="20"/>
              </w:rPr>
              <w:t>fracionador</w:t>
            </w:r>
            <w:proofErr w:type="spellEnd"/>
            <w:r w:rsidRPr="0042001D">
              <w:rPr>
                <w:rFonts w:ascii="Arial" w:hAnsi="Arial" w:cs="Arial"/>
                <w:sz w:val="20"/>
                <w:szCs w:val="20"/>
              </w:rPr>
              <w:t>.</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325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E17B0" w:rsidP="005E464B">
            <w:pPr>
              <w:snapToGrid w:val="0"/>
              <w:rPr>
                <w:rFonts w:ascii="Arial" w:hAnsi="Arial" w:cs="Arial"/>
                <w:sz w:val="20"/>
                <w:szCs w:val="20"/>
                <w:lang w:val="pt-PT"/>
              </w:rPr>
            </w:pPr>
            <w:r>
              <w:rPr>
                <w:rFonts w:ascii="Arial" w:hAnsi="Arial" w:cs="Arial"/>
                <w:sz w:val="20"/>
                <w:szCs w:val="20"/>
                <w:lang w:val="pt-PT"/>
              </w:rPr>
              <w:t>BIOBASE</w:t>
            </w:r>
          </w:p>
        </w:tc>
        <w:tc>
          <w:tcPr>
            <w:tcW w:w="850" w:type="dxa"/>
            <w:vAlign w:val="center"/>
          </w:tcPr>
          <w:p w:rsidR="0042001D" w:rsidRPr="0042001D" w:rsidRDefault="001E17B0" w:rsidP="005E464B">
            <w:pPr>
              <w:snapToGrid w:val="0"/>
              <w:jc w:val="right"/>
              <w:rPr>
                <w:rFonts w:ascii="Arial" w:hAnsi="Arial" w:cs="Arial"/>
                <w:sz w:val="20"/>
                <w:szCs w:val="20"/>
                <w:lang w:val="pt-PT"/>
              </w:rPr>
            </w:pPr>
            <w:r>
              <w:rPr>
                <w:rFonts w:ascii="Arial" w:hAnsi="Arial" w:cs="Arial"/>
                <w:sz w:val="20"/>
                <w:szCs w:val="20"/>
                <w:lang w:val="pt-PT"/>
              </w:rPr>
              <w:t>0,61</w:t>
            </w:r>
          </w:p>
        </w:tc>
        <w:tc>
          <w:tcPr>
            <w:tcW w:w="1134" w:type="dxa"/>
            <w:vAlign w:val="center"/>
          </w:tcPr>
          <w:p w:rsidR="0042001D" w:rsidRPr="0042001D" w:rsidRDefault="001E17B0" w:rsidP="005E464B">
            <w:pPr>
              <w:snapToGrid w:val="0"/>
              <w:jc w:val="right"/>
              <w:rPr>
                <w:rFonts w:ascii="Arial" w:hAnsi="Arial" w:cs="Arial"/>
                <w:sz w:val="20"/>
                <w:szCs w:val="20"/>
                <w:lang w:val="pt-PT"/>
              </w:rPr>
            </w:pPr>
            <w:r>
              <w:rPr>
                <w:rFonts w:ascii="Arial" w:hAnsi="Arial" w:cs="Arial"/>
                <w:sz w:val="20"/>
                <w:szCs w:val="20"/>
                <w:lang w:val="pt-PT"/>
              </w:rPr>
              <w:t>198,25</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168</w:t>
            </w:r>
          </w:p>
        </w:tc>
        <w:tc>
          <w:tcPr>
            <w:tcW w:w="4820" w:type="dxa"/>
            <w:vAlign w:val="center"/>
          </w:tcPr>
          <w:p w:rsidR="0042001D" w:rsidRPr="0042001D" w:rsidRDefault="0042001D" w:rsidP="005E464B">
            <w:pPr>
              <w:rPr>
                <w:rFonts w:ascii="Arial" w:hAnsi="Arial" w:cs="Arial"/>
                <w:sz w:val="20"/>
                <w:szCs w:val="20"/>
              </w:rPr>
            </w:pPr>
            <w:proofErr w:type="spellStart"/>
            <w:r w:rsidRPr="0042001D">
              <w:rPr>
                <w:rFonts w:ascii="Arial" w:hAnsi="Arial" w:cs="Arial"/>
                <w:sz w:val="20"/>
                <w:szCs w:val="20"/>
              </w:rPr>
              <w:t>Oxímetro</w:t>
            </w:r>
            <w:proofErr w:type="spellEnd"/>
            <w:r w:rsidRPr="0042001D">
              <w:rPr>
                <w:rFonts w:ascii="Arial" w:hAnsi="Arial" w:cs="Arial"/>
                <w:sz w:val="20"/>
                <w:szCs w:val="20"/>
              </w:rPr>
              <w:t xml:space="preserve"> de dedo uso adulto - aparelho de medição da porcentagem de oxigênio no sangue e a </w:t>
            </w:r>
            <w:proofErr w:type="spellStart"/>
            <w:r w:rsidRPr="0042001D">
              <w:rPr>
                <w:rFonts w:ascii="Arial" w:hAnsi="Arial" w:cs="Arial"/>
                <w:sz w:val="20"/>
                <w:szCs w:val="20"/>
              </w:rPr>
              <w:t>frequencia</w:t>
            </w:r>
            <w:proofErr w:type="spellEnd"/>
            <w:r w:rsidRPr="0042001D">
              <w:rPr>
                <w:rFonts w:ascii="Arial" w:hAnsi="Arial" w:cs="Arial"/>
                <w:sz w:val="20"/>
                <w:szCs w:val="20"/>
              </w:rPr>
              <w:t xml:space="preserve"> cardíaca. </w:t>
            </w:r>
            <w:proofErr w:type="gramStart"/>
            <w:r w:rsidRPr="0042001D">
              <w:rPr>
                <w:rFonts w:ascii="Arial" w:hAnsi="Arial" w:cs="Arial"/>
                <w:sz w:val="20"/>
                <w:szCs w:val="20"/>
              </w:rPr>
              <w:t>Aparelho com medições precisas, de peso leve, compacto, portátil, de fácil manuseio e baixo consumo</w:t>
            </w:r>
            <w:proofErr w:type="gramEnd"/>
            <w:r w:rsidRPr="0042001D">
              <w:rPr>
                <w:rFonts w:ascii="Arial" w:hAnsi="Arial" w:cs="Arial"/>
                <w:sz w:val="20"/>
                <w:szCs w:val="20"/>
              </w:rPr>
              <w:t xml:space="preserve"> de energia. Funcionamento a base de 02 (duas) pilhas AAA (palito). Sistema de </w:t>
            </w:r>
            <w:proofErr w:type="gramStart"/>
            <w:r w:rsidRPr="0042001D">
              <w:rPr>
                <w:rFonts w:ascii="Arial" w:hAnsi="Arial" w:cs="Arial"/>
                <w:sz w:val="20"/>
                <w:szCs w:val="20"/>
              </w:rPr>
              <w:t>auto desligamento</w:t>
            </w:r>
            <w:proofErr w:type="gramEnd"/>
            <w:r w:rsidRPr="0042001D">
              <w:rPr>
                <w:rFonts w:ascii="Arial" w:hAnsi="Arial" w:cs="Arial"/>
                <w:sz w:val="20"/>
                <w:szCs w:val="20"/>
              </w:rPr>
              <w:t xml:space="preserve">. Indicador de bateria fraca. Faixa de leitura de </w:t>
            </w:r>
            <w:proofErr w:type="gramStart"/>
            <w:r w:rsidRPr="0042001D">
              <w:rPr>
                <w:rFonts w:ascii="Arial" w:hAnsi="Arial" w:cs="Arial"/>
                <w:sz w:val="20"/>
                <w:szCs w:val="20"/>
              </w:rPr>
              <w:t>SpO2</w:t>
            </w:r>
            <w:proofErr w:type="gramEnd"/>
            <w:r w:rsidRPr="0042001D">
              <w:rPr>
                <w:rFonts w:ascii="Arial" w:hAnsi="Arial" w:cs="Arial"/>
                <w:sz w:val="20"/>
                <w:szCs w:val="20"/>
              </w:rPr>
              <w:t xml:space="preserve">: de, no mínimo, 30 a 99%. Faixa de leitura de pulsação de, no mínimo, 30 a 255 BPM (batimentos por minuto). Precisão de </w:t>
            </w:r>
            <w:proofErr w:type="gramStart"/>
            <w:r w:rsidRPr="0042001D">
              <w:rPr>
                <w:rFonts w:ascii="Arial" w:hAnsi="Arial" w:cs="Arial"/>
                <w:sz w:val="20"/>
                <w:szCs w:val="20"/>
              </w:rPr>
              <w:t>SpO2</w:t>
            </w:r>
            <w:proofErr w:type="gramEnd"/>
            <w:r w:rsidRPr="0042001D">
              <w:rPr>
                <w:rFonts w:ascii="Arial" w:hAnsi="Arial" w:cs="Arial"/>
                <w:sz w:val="20"/>
                <w:szCs w:val="20"/>
              </w:rPr>
              <w:t xml:space="preserve"> (70 a 99%): /- 2%. Precisão da pulsação: /- 2 BPM (batimentos por minuto) ou /- 2 %.</w:t>
            </w:r>
          </w:p>
          <w:p w:rsidR="0042001D" w:rsidRPr="0042001D" w:rsidRDefault="0042001D" w:rsidP="005E464B">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C0879" w:rsidP="005E464B">
            <w:pPr>
              <w:snapToGrid w:val="0"/>
              <w:rPr>
                <w:rFonts w:ascii="Arial" w:hAnsi="Arial" w:cs="Arial"/>
                <w:sz w:val="20"/>
                <w:szCs w:val="20"/>
                <w:lang w:val="pt-PT"/>
              </w:rPr>
            </w:pPr>
            <w:r>
              <w:rPr>
                <w:rFonts w:ascii="Arial" w:hAnsi="Arial" w:cs="Arial"/>
                <w:sz w:val="20"/>
                <w:szCs w:val="20"/>
                <w:lang w:val="pt-PT"/>
              </w:rPr>
              <w:t>BIOLAND MEDICLINI</w:t>
            </w:r>
          </w:p>
        </w:tc>
        <w:tc>
          <w:tcPr>
            <w:tcW w:w="850"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90,00</w:t>
            </w:r>
          </w:p>
        </w:tc>
        <w:tc>
          <w:tcPr>
            <w:tcW w:w="1134"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1.080,00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Pinça Alis ginecológica fabricada em aço inox medindo 16 cm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C0879" w:rsidP="005E464B">
            <w:pPr>
              <w:snapToGrid w:val="0"/>
              <w:rPr>
                <w:rFonts w:ascii="Arial" w:hAnsi="Arial" w:cs="Arial"/>
                <w:sz w:val="20"/>
                <w:szCs w:val="20"/>
                <w:lang w:val="pt-PT"/>
              </w:rPr>
            </w:pPr>
            <w:r>
              <w:rPr>
                <w:rFonts w:ascii="Arial" w:hAnsi="Arial" w:cs="Arial"/>
                <w:sz w:val="20"/>
                <w:szCs w:val="20"/>
                <w:lang w:val="pt-PT"/>
              </w:rPr>
              <w:t>GOLGRAN 15CM</w:t>
            </w:r>
          </w:p>
        </w:tc>
        <w:tc>
          <w:tcPr>
            <w:tcW w:w="850"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29,75</w:t>
            </w:r>
          </w:p>
        </w:tc>
        <w:tc>
          <w:tcPr>
            <w:tcW w:w="1134"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297,50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Pinça </w:t>
            </w:r>
            <w:proofErr w:type="spellStart"/>
            <w:r w:rsidRPr="0042001D">
              <w:rPr>
                <w:rFonts w:ascii="Arial" w:hAnsi="Arial" w:cs="Arial"/>
                <w:i/>
                <w:sz w:val="20"/>
                <w:szCs w:val="20"/>
              </w:rPr>
              <w:t>Bakaus</w:t>
            </w:r>
            <w:proofErr w:type="spellEnd"/>
            <w:r w:rsidRPr="0042001D">
              <w:rPr>
                <w:rFonts w:ascii="Arial" w:hAnsi="Arial" w:cs="Arial"/>
                <w:sz w:val="20"/>
                <w:szCs w:val="20"/>
              </w:rPr>
              <w:t xml:space="preserve"> grande. Embalagem plástica individual, constando os dados de identificação, procedência e </w:t>
            </w:r>
            <w:proofErr w:type="spellStart"/>
            <w:r w:rsidRPr="0042001D">
              <w:rPr>
                <w:rFonts w:ascii="Arial" w:hAnsi="Arial" w:cs="Arial"/>
                <w:sz w:val="20"/>
                <w:szCs w:val="20"/>
              </w:rPr>
              <w:t>rastreabilidade</w:t>
            </w:r>
            <w:proofErr w:type="spellEnd"/>
            <w:r w:rsidRPr="0042001D">
              <w:rPr>
                <w:rFonts w:ascii="Arial" w:hAnsi="Arial" w:cs="Arial"/>
                <w:sz w:val="20"/>
                <w:szCs w:val="20"/>
              </w:rPr>
              <w:t>.  Certificações: Fabricação de acordo com Padrões Internacionais de Qualidade, Normas da ABNT, CE. Registro no MS: 10304850053.</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C0879" w:rsidP="005E464B">
            <w:pPr>
              <w:snapToGrid w:val="0"/>
              <w:rPr>
                <w:rFonts w:ascii="Arial" w:hAnsi="Arial" w:cs="Arial"/>
                <w:sz w:val="20"/>
                <w:szCs w:val="20"/>
                <w:lang w:val="pt-PT"/>
              </w:rPr>
            </w:pPr>
            <w:r>
              <w:rPr>
                <w:rFonts w:ascii="Arial" w:hAnsi="Arial" w:cs="Arial"/>
                <w:sz w:val="20"/>
                <w:szCs w:val="20"/>
                <w:lang w:val="pt-PT"/>
              </w:rPr>
              <w:t>GOLGRAN 13CM</w:t>
            </w:r>
          </w:p>
        </w:tc>
        <w:tc>
          <w:tcPr>
            <w:tcW w:w="850"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23,28</w:t>
            </w:r>
          </w:p>
        </w:tc>
        <w:tc>
          <w:tcPr>
            <w:tcW w:w="1134"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465,60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174</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Pinça </w:t>
            </w:r>
            <w:proofErr w:type="spellStart"/>
            <w:r w:rsidRPr="0042001D">
              <w:rPr>
                <w:rFonts w:ascii="Arial" w:hAnsi="Arial" w:cs="Arial"/>
                <w:i/>
                <w:sz w:val="20"/>
                <w:szCs w:val="20"/>
              </w:rPr>
              <w:t>Scheron</w:t>
            </w:r>
            <w:proofErr w:type="spellEnd"/>
            <w:r w:rsidRPr="0042001D">
              <w:rPr>
                <w:rFonts w:ascii="Arial" w:hAnsi="Arial" w:cs="Arial"/>
                <w:sz w:val="20"/>
                <w:szCs w:val="20"/>
              </w:rPr>
              <w:t xml:space="preserve"> descartável.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185</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C0879" w:rsidP="005E464B">
            <w:pPr>
              <w:snapToGrid w:val="0"/>
              <w:rPr>
                <w:rFonts w:ascii="Arial" w:hAnsi="Arial" w:cs="Arial"/>
                <w:sz w:val="20"/>
                <w:szCs w:val="20"/>
                <w:lang w:val="pt-PT"/>
              </w:rPr>
            </w:pPr>
            <w:r>
              <w:rPr>
                <w:rFonts w:ascii="Arial" w:hAnsi="Arial" w:cs="Arial"/>
                <w:sz w:val="20"/>
                <w:szCs w:val="20"/>
                <w:lang w:val="pt-PT"/>
              </w:rPr>
              <w:t>VAGISPEC ADLIN</w:t>
            </w:r>
          </w:p>
        </w:tc>
        <w:tc>
          <w:tcPr>
            <w:tcW w:w="850"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0,88</w:t>
            </w:r>
          </w:p>
        </w:tc>
        <w:tc>
          <w:tcPr>
            <w:tcW w:w="1134"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162,80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175</w:t>
            </w:r>
          </w:p>
        </w:tc>
        <w:tc>
          <w:tcPr>
            <w:tcW w:w="4820" w:type="dxa"/>
            <w:vAlign w:val="center"/>
          </w:tcPr>
          <w:p w:rsidR="0042001D" w:rsidRPr="0042001D" w:rsidRDefault="0042001D" w:rsidP="005E464B">
            <w:pPr>
              <w:rPr>
                <w:rFonts w:ascii="Arial" w:hAnsi="Arial" w:cs="Arial"/>
                <w:sz w:val="20"/>
                <w:szCs w:val="20"/>
              </w:rPr>
            </w:pPr>
            <w:proofErr w:type="spellStart"/>
            <w:r w:rsidRPr="0042001D">
              <w:rPr>
                <w:rFonts w:ascii="Arial" w:hAnsi="Arial" w:cs="Arial"/>
                <w:i/>
                <w:sz w:val="20"/>
                <w:szCs w:val="20"/>
              </w:rPr>
              <w:t>Polifix</w:t>
            </w:r>
            <w:proofErr w:type="spellEnd"/>
            <w:r w:rsidRPr="0042001D">
              <w:rPr>
                <w:rFonts w:ascii="Arial" w:hAnsi="Arial" w:cs="Arial"/>
                <w:sz w:val="20"/>
                <w:szCs w:val="20"/>
              </w:rPr>
              <w:t xml:space="preserve"> 02 vias com tampa completo (Equipo c/ tampa completo)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C0879" w:rsidP="005E464B">
            <w:pPr>
              <w:snapToGrid w:val="0"/>
              <w:rPr>
                <w:rFonts w:ascii="Arial" w:hAnsi="Arial" w:cs="Arial"/>
                <w:sz w:val="20"/>
                <w:szCs w:val="20"/>
                <w:lang w:val="pt-PT"/>
              </w:rPr>
            </w:pPr>
            <w:r>
              <w:rPr>
                <w:rFonts w:ascii="Arial" w:hAnsi="Arial" w:cs="Arial"/>
                <w:sz w:val="20"/>
                <w:szCs w:val="20"/>
                <w:lang w:val="pt-PT"/>
              </w:rPr>
              <w:t>VITAL GOLD</w:t>
            </w:r>
          </w:p>
        </w:tc>
        <w:tc>
          <w:tcPr>
            <w:tcW w:w="850"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0,519</w:t>
            </w:r>
          </w:p>
        </w:tc>
        <w:tc>
          <w:tcPr>
            <w:tcW w:w="1134" w:type="dxa"/>
            <w:vAlign w:val="center"/>
          </w:tcPr>
          <w:p w:rsidR="0042001D" w:rsidRPr="0042001D" w:rsidRDefault="001C0879" w:rsidP="005E464B">
            <w:pPr>
              <w:snapToGrid w:val="0"/>
              <w:jc w:val="right"/>
              <w:rPr>
                <w:rFonts w:ascii="Arial" w:hAnsi="Arial" w:cs="Arial"/>
                <w:sz w:val="20"/>
                <w:szCs w:val="20"/>
                <w:lang w:val="pt-PT"/>
              </w:rPr>
            </w:pPr>
            <w:r>
              <w:rPr>
                <w:rFonts w:ascii="Arial" w:hAnsi="Arial" w:cs="Arial"/>
                <w:sz w:val="20"/>
                <w:szCs w:val="20"/>
                <w:lang w:val="pt-PT"/>
              </w:rPr>
              <w:t>1.297,50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Tesoura modelo Spencer reta, para retirada de pontos - tamanho 09 cm.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93636" w:rsidP="005E464B">
            <w:pPr>
              <w:snapToGrid w:val="0"/>
              <w:rPr>
                <w:rFonts w:ascii="Arial" w:hAnsi="Arial" w:cs="Arial"/>
                <w:sz w:val="20"/>
                <w:szCs w:val="20"/>
                <w:lang w:val="pt-PT"/>
              </w:rPr>
            </w:pPr>
            <w:r>
              <w:rPr>
                <w:rFonts w:ascii="Arial" w:hAnsi="Arial" w:cs="Arial"/>
                <w:sz w:val="20"/>
                <w:szCs w:val="20"/>
                <w:lang w:val="pt-PT"/>
              </w:rPr>
              <w:t>GOLGRAM</w:t>
            </w:r>
          </w:p>
        </w:tc>
        <w:tc>
          <w:tcPr>
            <w:tcW w:w="850" w:type="dxa"/>
            <w:vAlign w:val="center"/>
          </w:tcPr>
          <w:p w:rsidR="0042001D" w:rsidRPr="0042001D" w:rsidRDefault="00C93636" w:rsidP="005E464B">
            <w:pPr>
              <w:snapToGrid w:val="0"/>
              <w:jc w:val="right"/>
              <w:rPr>
                <w:rFonts w:ascii="Arial" w:hAnsi="Arial" w:cs="Arial"/>
                <w:sz w:val="20"/>
                <w:szCs w:val="20"/>
                <w:lang w:val="pt-PT"/>
              </w:rPr>
            </w:pPr>
            <w:r>
              <w:rPr>
                <w:rFonts w:ascii="Arial" w:hAnsi="Arial" w:cs="Arial"/>
                <w:sz w:val="20"/>
                <w:szCs w:val="20"/>
                <w:lang w:val="pt-PT"/>
              </w:rPr>
              <w:t>22,18</w:t>
            </w:r>
          </w:p>
        </w:tc>
        <w:tc>
          <w:tcPr>
            <w:tcW w:w="1134" w:type="dxa"/>
            <w:vAlign w:val="center"/>
          </w:tcPr>
          <w:p w:rsidR="0042001D" w:rsidRPr="0042001D" w:rsidRDefault="00C93636" w:rsidP="005E464B">
            <w:pPr>
              <w:snapToGrid w:val="0"/>
              <w:jc w:val="right"/>
              <w:rPr>
                <w:rFonts w:ascii="Arial" w:hAnsi="Arial" w:cs="Arial"/>
                <w:sz w:val="20"/>
                <w:szCs w:val="20"/>
                <w:lang w:val="pt-PT"/>
              </w:rPr>
            </w:pPr>
            <w:r>
              <w:rPr>
                <w:rFonts w:ascii="Arial" w:hAnsi="Arial" w:cs="Arial"/>
                <w:sz w:val="20"/>
                <w:szCs w:val="20"/>
                <w:lang w:val="pt-PT"/>
              </w:rPr>
              <w:t>665,40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243</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Tesoura modelo Spencer reta, para retirada de pontos - tamanho 12 cm.</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30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93636" w:rsidP="005E464B">
            <w:pPr>
              <w:snapToGrid w:val="0"/>
              <w:rPr>
                <w:rFonts w:ascii="Arial" w:hAnsi="Arial" w:cs="Arial"/>
                <w:sz w:val="20"/>
                <w:szCs w:val="20"/>
                <w:lang w:val="pt-PT"/>
              </w:rPr>
            </w:pPr>
            <w:r>
              <w:rPr>
                <w:rFonts w:ascii="Arial" w:hAnsi="Arial" w:cs="Arial"/>
                <w:sz w:val="20"/>
                <w:szCs w:val="20"/>
                <w:lang w:val="pt-PT"/>
              </w:rPr>
              <w:t>GOLGRAN</w:t>
            </w:r>
          </w:p>
        </w:tc>
        <w:tc>
          <w:tcPr>
            <w:tcW w:w="850" w:type="dxa"/>
            <w:vAlign w:val="center"/>
          </w:tcPr>
          <w:p w:rsidR="0042001D" w:rsidRPr="0042001D" w:rsidRDefault="00C93636" w:rsidP="005E464B">
            <w:pPr>
              <w:snapToGrid w:val="0"/>
              <w:jc w:val="right"/>
              <w:rPr>
                <w:rFonts w:ascii="Arial" w:hAnsi="Arial" w:cs="Arial"/>
                <w:sz w:val="20"/>
                <w:szCs w:val="20"/>
                <w:lang w:val="pt-PT"/>
              </w:rPr>
            </w:pPr>
            <w:r>
              <w:rPr>
                <w:rFonts w:ascii="Arial" w:hAnsi="Arial" w:cs="Arial"/>
                <w:sz w:val="20"/>
                <w:szCs w:val="20"/>
                <w:lang w:val="pt-PT"/>
              </w:rPr>
              <w:t>24,96</w:t>
            </w:r>
          </w:p>
        </w:tc>
        <w:tc>
          <w:tcPr>
            <w:tcW w:w="1134" w:type="dxa"/>
            <w:vAlign w:val="center"/>
          </w:tcPr>
          <w:p w:rsidR="0042001D" w:rsidRPr="0042001D" w:rsidRDefault="00C93636" w:rsidP="005E464B">
            <w:pPr>
              <w:snapToGrid w:val="0"/>
              <w:jc w:val="right"/>
              <w:rPr>
                <w:rFonts w:ascii="Arial" w:hAnsi="Arial" w:cs="Arial"/>
                <w:sz w:val="20"/>
                <w:szCs w:val="20"/>
                <w:lang w:val="pt-PT"/>
              </w:rPr>
            </w:pPr>
            <w:r>
              <w:rPr>
                <w:rFonts w:ascii="Arial" w:hAnsi="Arial" w:cs="Arial"/>
                <w:sz w:val="20"/>
                <w:szCs w:val="20"/>
                <w:lang w:val="pt-PT"/>
              </w:rPr>
              <w:t>748,80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246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3,5.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7B6BD6"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2,96</w:t>
            </w:r>
          </w:p>
        </w:tc>
        <w:tc>
          <w:tcPr>
            <w:tcW w:w="1134"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29,60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4,0.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7B6BD6"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2,58</w:t>
            </w:r>
          </w:p>
        </w:tc>
        <w:tc>
          <w:tcPr>
            <w:tcW w:w="1134"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25,80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4,5.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7B6BD6"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2,96</w:t>
            </w:r>
          </w:p>
        </w:tc>
        <w:tc>
          <w:tcPr>
            <w:tcW w:w="1134"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29,60</w:t>
            </w:r>
          </w:p>
        </w:tc>
      </w:tr>
      <w:tr w:rsidR="0042001D" w:rsidRPr="0042001D" w:rsidTr="00C66425">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249</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5,0.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7B6BD6" w:rsidP="005E464B">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2,58</w:t>
            </w:r>
          </w:p>
        </w:tc>
        <w:tc>
          <w:tcPr>
            <w:tcW w:w="1134" w:type="dxa"/>
            <w:vAlign w:val="center"/>
          </w:tcPr>
          <w:p w:rsidR="0042001D" w:rsidRPr="0042001D" w:rsidRDefault="007B6BD6" w:rsidP="005E464B">
            <w:pPr>
              <w:snapToGrid w:val="0"/>
              <w:jc w:val="right"/>
              <w:rPr>
                <w:rFonts w:ascii="Arial" w:hAnsi="Arial" w:cs="Arial"/>
                <w:sz w:val="20"/>
                <w:szCs w:val="20"/>
                <w:lang w:val="pt-PT"/>
              </w:rPr>
            </w:pPr>
            <w:r>
              <w:rPr>
                <w:rFonts w:ascii="Arial" w:hAnsi="Arial" w:cs="Arial"/>
                <w:sz w:val="20"/>
                <w:szCs w:val="20"/>
                <w:lang w:val="pt-PT"/>
              </w:rPr>
              <w:t>25,80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lastRenderedPageBreak/>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B87A2E">
        <w:rPr>
          <w:rFonts w:ascii="Arial" w:hAnsi="Arial" w:cs="Arial"/>
          <w:sz w:val="20"/>
          <w:szCs w:val="20"/>
        </w:rPr>
        <w:t>15877-1</w:t>
      </w:r>
      <w:r w:rsidRPr="0042001D">
        <w:rPr>
          <w:rFonts w:ascii="Arial" w:hAnsi="Arial" w:cs="Arial"/>
          <w:sz w:val="20"/>
          <w:szCs w:val="20"/>
        </w:rPr>
        <w:t xml:space="preserve">, do Banco </w:t>
      </w:r>
      <w:r w:rsidR="00B87A2E">
        <w:rPr>
          <w:rFonts w:ascii="Arial" w:hAnsi="Arial" w:cs="Arial"/>
          <w:sz w:val="20"/>
          <w:szCs w:val="20"/>
        </w:rPr>
        <w:t>BRASIL</w:t>
      </w:r>
      <w:r w:rsidRPr="0042001D">
        <w:rPr>
          <w:rFonts w:ascii="Arial" w:hAnsi="Arial" w:cs="Arial"/>
          <w:sz w:val="20"/>
          <w:szCs w:val="20"/>
        </w:rPr>
        <w:t xml:space="preserve">, agência nº </w:t>
      </w:r>
      <w:r w:rsidR="00B87A2E">
        <w:rPr>
          <w:rFonts w:ascii="Arial" w:hAnsi="Arial" w:cs="Arial"/>
          <w:sz w:val="20"/>
          <w:szCs w:val="20"/>
        </w:rPr>
        <w:t>0616-5</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A ordem de classificação dos fornecedores que aceitarem reduzir seus preços aos valores de mercado </w:t>
      </w:r>
      <w:r w:rsidRPr="0042001D">
        <w:rPr>
          <w:rFonts w:cs="Arial"/>
        </w:rPr>
        <w:lastRenderedPageBreak/>
        <w:t>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sidRPr="0042001D">
        <w:rPr>
          <w:rFonts w:ascii="Arial" w:hAnsi="Arial" w:cs="Arial"/>
        </w:rPr>
        <w:lastRenderedPageBreak/>
        <w:t>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784D0B" w:rsidRPr="00790A01" w:rsidRDefault="00784D0B" w:rsidP="00784D0B">
      <w:pPr>
        <w:widowControl w:val="0"/>
        <w:suppressAutoHyphens/>
        <w:spacing w:after="0" w:line="240" w:lineRule="auto"/>
        <w:ind w:left="426"/>
        <w:jc w:val="both"/>
        <w:rPr>
          <w:rFonts w:ascii="Arial" w:hAnsi="Arial" w:cs="Arial"/>
          <w:sz w:val="20"/>
          <w:szCs w:val="20"/>
        </w:rPr>
      </w:pPr>
    </w:p>
    <w:p w:rsidR="0042001D"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84D0B" w:rsidRDefault="00784D0B" w:rsidP="00784D0B">
      <w:pPr>
        <w:pStyle w:val="PargrafodaLista"/>
        <w:rPr>
          <w:sz w:val="20"/>
        </w:rPr>
      </w:pPr>
    </w:p>
    <w:p w:rsidR="00784D0B" w:rsidRPr="00790A01" w:rsidRDefault="00784D0B" w:rsidP="00784D0B">
      <w:pPr>
        <w:widowControl w:val="0"/>
        <w:suppressAutoHyphens/>
        <w:spacing w:after="0" w:line="240" w:lineRule="auto"/>
        <w:ind w:left="426"/>
        <w:jc w:val="both"/>
        <w:rPr>
          <w:rFonts w:ascii="Arial" w:hAnsi="Arial" w:cs="Arial"/>
          <w:sz w:val="20"/>
          <w:szCs w:val="20"/>
        </w:rPr>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84D0B" w:rsidRPr="00784D0B" w:rsidRDefault="00784D0B" w:rsidP="00784D0B">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784D0B" w:rsidRPr="00784D0B" w:rsidRDefault="00784D0B" w:rsidP="00784D0B">
      <w:pPr>
        <w:pStyle w:val="Subttulo"/>
      </w:pP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784D0B" w:rsidRDefault="0042001D" w:rsidP="00784D0B">
      <w:pPr>
        <w:pStyle w:val="Ttulo"/>
        <w:rPr>
          <w:b w:val="0"/>
        </w:rPr>
      </w:pPr>
      <w:r w:rsidRPr="00784D0B">
        <w:rPr>
          <w:b w:val="0"/>
        </w:rPr>
        <w:t>SECRETARIA MUNICIPAL DE SAÚDE</w:t>
      </w:r>
    </w:p>
    <w:p w:rsidR="0042001D" w:rsidRPr="00784D0B" w:rsidRDefault="0042001D" w:rsidP="00784D0B">
      <w:pPr>
        <w:pStyle w:val="Ttulo"/>
        <w:rPr>
          <w:b w:val="0"/>
        </w:rPr>
      </w:pPr>
      <w:r w:rsidRPr="00784D0B">
        <w:rPr>
          <w:b w:val="0"/>
        </w:rPr>
        <w:t>FUNDO MUNICIPAL DE SAÚDE</w:t>
      </w:r>
    </w:p>
    <w:p w:rsidR="0042001D" w:rsidRPr="00784D0B" w:rsidRDefault="0042001D" w:rsidP="00784D0B">
      <w:pPr>
        <w:pStyle w:val="Ttulo"/>
        <w:rPr>
          <w:b w:val="0"/>
        </w:rPr>
      </w:pPr>
      <w:r w:rsidRPr="00784D0B">
        <w:rPr>
          <w:b w:val="0"/>
        </w:rPr>
        <w:t>CELSO VILMAR BRANCHER - SECRETÁRIO</w:t>
      </w:r>
    </w:p>
    <w:p w:rsidR="0042001D" w:rsidRPr="0042001D" w:rsidRDefault="0042001D" w:rsidP="00535FB7">
      <w:pPr>
        <w:tabs>
          <w:tab w:val="left" w:pos="1134"/>
        </w:tabs>
        <w:rPr>
          <w:rFonts w:ascii="Arial" w:hAnsi="Arial" w:cs="Arial"/>
          <w:sz w:val="20"/>
          <w:szCs w:val="20"/>
        </w:rPr>
      </w:pPr>
    </w:p>
    <w:p w:rsidR="0042001D" w:rsidRPr="00784D0B" w:rsidRDefault="00784D0B" w:rsidP="00784D0B">
      <w:pPr>
        <w:pStyle w:val="Ttulo"/>
        <w:rPr>
          <w:b w:val="0"/>
        </w:rPr>
      </w:pPr>
      <w:r w:rsidRPr="00784D0B">
        <w:rPr>
          <w:b w:val="0"/>
        </w:rPr>
        <w:t>ODONTOMEDI PRODUTOS ODONTOLOGICOS E HOSP. LTDA</w:t>
      </w:r>
    </w:p>
    <w:p w:rsidR="00784D0B" w:rsidRPr="00784D0B" w:rsidRDefault="00784D0B" w:rsidP="00784D0B">
      <w:pPr>
        <w:pStyle w:val="Ttulo"/>
        <w:rPr>
          <w:b w:val="0"/>
        </w:rPr>
      </w:pPr>
      <w:r w:rsidRPr="00784D0B">
        <w:rPr>
          <w:b w:val="0"/>
        </w:rPr>
        <w:t>ANIMARI TEREZINHA GUIMARÃES</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92" w:rsidRDefault="003A0B92" w:rsidP="003A0B92">
      <w:pPr>
        <w:spacing w:after="0" w:line="240" w:lineRule="auto"/>
      </w:pPr>
      <w:r>
        <w:separator/>
      </w:r>
    </w:p>
  </w:endnote>
  <w:endnote w:type="continuationSeparator" w:id="1">
    <w:p w:rsidR="003A0B92" w:rsidRDefault="003A0B92"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267AD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267ADF">
                <w:pPr>
                  <w:pStyle w:val="Rodap"/>
                </w:pPr>
                <w:r>
                  <w:rPr>
                    <w:rStyle w:val="Nmerodepgina"/>
                  </w:rPr>
                  <w:fldChar w:fldCharType="begin"/>
                </w:r>
                <w:r w:rsidR="00535FB7">
                  <w:rPr>
                    <w:rStyle w:val="Nmerodepgina"/>
                  </w:rPr>
                  <w:instrText xml:space="preserve"> PAGE </w:instrText>
                </w:r>
                <w:r>
                  <w:rPr>
                    <w:rStyle w:val="Nmerodepgina"/>
                  </w:rPr>
                  <w:fldChar w:fldCharType="separate"/>
                </w:r>
                <w:r w:rsidR="00784D0B">
                  <w:rPr>
                    <w:rStyle w:val="Nmerodepgina"/>
                    <w:noProof/>
                  </w:rPr>
                  <w:t>9</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92" w:rsidRDefault="003A0B92" w:rsidP="003A0B92">
      <w:pPr>
        <w:spacing w:after="0" w:line="240" w:lineRule="auto"/>
      </w:pPr>
      <w:r>
        <w:separator/>
      </w:r>
    </w:p>
  </w:footnote>
  <w:footnote w:type="continuationSeparator" w:id="1">
    <w:p w:rsidR="003A0B92" w:rsidRDefault="003A0B92"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267ADF" w:rsidP="00830B39">
    <w:pPr>
      <w:ind w:left="1134"/>
      <w:rPr>
        <w:sz w:val="20"/>
      </w:rPr>
    </w:pPr>
    <w:r w:rsidRPr="00267A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784D0B" w:rsidP="00D60F40">
    <w:pPr>
      <w:ind w:left="851"/>
      <w:rPr>
        <w:b/>
        <w:sz w:val="20"/>
      </w:rPr>
    </w:pPr>
  </w:p>
  <w:p w:rsidR="001F38B2" w:rsidRDefault="00784D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C0879"/>
    <w:rsid w:val="001D7195"/>
    <w:rsid w:val="001E17B0"/>
    <w:rsid w:val="00267ADF"/>
    <w:rsid w:val="003A0B92"/>
    <w:rsid w:val="0042001D"/>
    <w:rsid w:val="00535FB7"/>
    <w:rsid w:val="005638DD"/>
    <w:rsid w:val="00637306"/>
    <w:rsid w:val="006E3CFD"/>
    <w:rsid w:val="00784D0B"/>
    <w:rsid w:val="00790A01"/>
    <w:rsid w:val="007B6BD6"/>
    <w:rsid w:val="008D2095"/>
    <w:rsid w:val="00AB3335"/>
    <w:rsid w:val="00B87A2E"/>
    <w:rsid w:val="00C22C74"/>
    <w:rsid w:val="00C66425"/>
    <w:rsid w:val="00C93636"/>
    <w:rsid w:val="00D03B52"/>
    <w:rsid w:val="00D31F06"/>
    <w:rsid w:val="00DB05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3139</Words>
  <Characters>16956</Characters>
  <Application>Microsoft Office Word</Application>
  <DocSecurity>0</DocSecurity>
  <Lines>141</Lines>
  <Paragraphs>40</Paragraphs>
  <ScaleCrop>false</ScaleCrop>
  <Company>PMJ</Company>
  <LinksUpToDate>false</LinksUpToDate>
  <CharactersWithSpaces>20055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19</cp:revision>
  <dcterms:created xsi:type="dcterms:W3CDTF">2018-04-13T19:57:00Z</dcterms:created>
  <dcterms:modified xsi:type="dcterms:W3CDTF">2018-04-13T20:41:00Z</dcterms:modified>
</cp:coreProperties>
</file>