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0B0151">
        <w:rPr>
          <w:rFonts w:ascii="Arial" w:hAnsi="Arial" w:cs="Arial"/>
          <w:b/>
          <w:sz w:val="20"/>
          <w:szCs w:val="20"/>
        </w:rPr>
        <w:t>06</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EF770A">
        <w:tc>
          <w:tcPr>
            <w:tcW w:w="402" w:type="dxa"/>
            <w:vMerge w:val="restart"/>
            <w:vAlign w:val="center"/>
          </w:tcPr>
          <w:p w:rsidR="00C47165" w:rsidRPr="00C47165" w:rsidRDefault="00C47165" w:rsidP="00EF770A">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DHIEGO FRANCA</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RUA RIACHUELO, 345 – BAIRRO: SANTO ANTONIO – HERVAL D’OESTE/SC – 89.610-000 – FONE: 49-3554-2080</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HERVAL D’OESTE/SC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24.790.963/0001-02</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p>
        </w:tc>
        <w:tc>
          <w:tcPr>
            <w:tcW w:w="6984" w:type="dxa"/>
            <w:vAlign w:val="center"/>
          </w:tcPr>
          <w:p w:rsidR="00C47165" w:rsidRPr="00C47165" w:rsidRDefault="00C47165" w:rsidP="00EF770A">
            <w:pPr>
              <w:autoSpaceDE w:val="0"/>
              <w:autoSpaceDN w:val="0"/>
              <w:adjustRightInd w:val="0"/>
              <w:rPr>
                <w:rFonts w:ascii="Arial" w:hAnsi="Arial" w:cs="Arial"/>
                <w:b/>
                <w:sz w:val="20"/>
                <w:szCs w:val="20"/>
              </w:rPr>
            </w:pP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DHIEGO FRANCA</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HERVAL D’OESTE/SC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055.904.769-09</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0B0151" w:rsidP="00EF770A">
            <w:pPr>
              <w:autoSpaceDE w:val="0"/>
              <w:autoSpaceDN w:val="0"/>
              <w:adjustRightInd w:val="0"/>
              <w:rPr>
                <w:rFonts w:ascii="Arial" w:hAnsi="Arial" w:cs="Arial"/>
                <w:b/>
                <w:sz w:val="20"/>
                <w:szCs w:val="20"/>
              </w:rPr>
            </w:pPr>
            <w:r>
              <w:rPr>
                <w:rFonts w:ascii="Arial" w:hAnsi="Arial" w:cs="Arial"/>
                <w:b/>
                <w:sz w:val="20"/>
                <w:szCs w:val="20"/>
              </w:rPr>
              <w:t>4289571</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969"/>
        <w:gridCol w:w="1701"/>
        <w:gridCol w:w="1276"/>
        <w:gridCol w:w="1275"/>
      </w:tblGrid>
      <w:tr w:rsidR="00C47165" w:rsidRPr="00C47165" w:rsidTr="000B0151">
        <w:tc>
          <w:tcPr>
            <w:tcW w:w="694"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UN</w:t>
            </w:r>
          </w:p>
        </w:tc>
        <w:tc>
          <w:tcPr>
            <w:tcW w:w="3969"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ESPECIFICAÇÃO</w:t>
            </w:r>
          </w:p>
        </w:tc>
        <w:tc>
          <w:tcPr>
            <w:tcW w:w="1701"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EF770A">
            <w:pPr>
              <w:jc w:val="center"/>
              <w:rPr>
                <w:rFonts w:ascii="Arial" w:hAnsi="Arial" w:cs="Arial"/>
                <w:sz w:val="20"/>
                <w:szCs w:val="20"/>
              </w:rPr>
            </w:pPr>
            <w:r w:rsidRPr="00C47165">
              <w:rPr>
                <w:rFonts w:ascii="Arial" w:hAnsi="Arial" w:cs="Arial"/>
                <w:sz w:val="20"/>
                <w:szCs w:val="20"/>
              </w:rPr>
              <w:t>R$</w:t>
            </w:r>
          </w:p>
        </w:tc>
      </w:tr>
      <w:tr w:rsidR="00C47165" w:rsidRPr="00C47165" w:rsidTr="000B0151">
        <w:tc>
          <w:tcPr>
            <w:tcW w:w="694" w:type="dxa"/>
            <w:vAlign w:val="center"/>
          </w:tcPr>
          <w:p w:rsidR="00C47165" w:rsidRPr="00C47165" w:rsidRDefault="00C47165" w:rsidP="00EF770A">
            <w:pPr>
              <w:jc w:val="center"/>
              <w:rPr>
                <w:rFonts w:ascii="Arial" w:hAnsi="Arial" w:cs="Arial"/>
                <w:sz w:val="20"/>
                <w:szCs w:val="20"/>
              </w:rPr>
            </w:pPr>
            <w:proofErr w:type="gramStart"/>
            <w:r w:rsidRPr="00C47165">
              <w:rPr>
                <w:rFonts w:ascii="Arial" w:hAnsi="Arial" w:cs="Arial"/>
                <w:sz w:val="20"/>
                <w:szCs w:val="20"/>
              </w:rPr>
              <w:t>4</w:t>
            </w:r>
            <w:proofErr w:type="gramEnd"/>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400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BATERIA LÍTIO CR 2032 – Tipo Moeda – Para substituição em Computadores</w:t>
            </w:r>
          </w:p>
        </w:tc>
        <w:tc>
          <w:tcPr>
            <w:tcW w:w="1701" w:type="dxa"/>
            <w:vAlign w:val="center"/>
          </w:tcPr>
          <w:p w:rsidR="00C47165" w:rsidRPr="00C47165" w:rsidRDefault="000B0151" w:rsidP="00EF770A">
            <w:pPr>
              <w:rPr>
                <w:rFonts w:ascii="Arial" w:hAnsi="Arial" w:cs="Arial"/>
                <w:b/>
                <w:sz w:val="20"/>
                <w:szCs w:val="20"/>
              </w:rPr>
            </w:pPr>
            <w:r>
              <w:rPr>
                <w:rFonts w:ascii="Arial" w:hAnsi="Arial" w:cs="Arial"/>
                <w:b/>
                <w:sz w:val="20"/>
                <w:szCs w:val="20"/>
              </w:rPr>
              <w:t>DA VINCI</w:t>
            </w:r>
          </w:p>
        </w:tc>
        <w:tc>
          <w:tcPr>
            <w:tcW w:w="1276"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1,60</w:t>
            </w:r>
          </w:p>
        </w:tc>
        <w:tc>
          <w:tcPr>
            <w:tcW w:w="1275"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640,00</w:t>
            </w:r>
          </w:p>
        </w:tc>
      </w:tr>
      <w:tr w:rsidR="00C47165" w:rsidRPr="00C47165" w:rsidTr="000B0151">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36</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40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SWITCH/HUB </w:t>
            </w:r>
            <w:proofErr w:type="gramStart"/>
            <w:r w:rsidRPr="00C47165">
              <w:rPr>
                <w:rFonts w:ascii="Arial" w:hAnsi="Arial" w:cs="Arial"/>
                <w:sz w:val="20"/>
                <w:szCs w:val="20"/>
              </w:rPr>
              <w:t>8</w:t>
            </w:r>
            <w:proofErr w:type="gramEnd"/>
            <w:r w:rsidRPr="00C47165">
              <w:rPr>
                <w:rFonts w:ascii="Arial" w:hAnsi="Arial" w:cs="Arial"/>
                <w:sz w:val="20"/>
                <w:szCs w:val="20"/>
              </w:rPr>
              <w:t xml:space="preserve"> PORTAS RJ45 PADRÃO GIGABIT 10/100/1000 – </w:t>
            </w:r>
            <w:proofErr w:type="spellStart"/>
            <w:r w:rsidRPr="00C47165">
              <w:rPr>
                <w:rFonts w:ascii="Arial" w:hAnsi="Arial" w:cs="Arial"/>
                <w:sz w:val="20"/>
                <w:szCs w:val="20"/>
              </w:rPr>
              <w:t>Full</w:t>
            </w:r>
            <w:proofErr w:type="spellEnd"/>
            <w:r w:rsidRPr="00C47165">
              <w:rPr>
                <w:rFonts w:ascii="Arial" w:hAnsi="Arial" w:cs="Arial"/>
                <w:sz w:val="20"/>
                <w:szCs w:val="20"/>
              </w:rPr>
              <w:t xml:space="preserve"> Duplex – Bi volt </w:t>
            </w:r>
          </w:p>
        </w:tc>
        <w:tc>
          <w:tcPr>
            <w:tcW w:w="1701" w:type="dxa"/>
            <w:vAlign w:val="center"/>
          </w:tcPr>
          <w:p w:rsidR="00C47165" w:rsidRPr="00C47165" w:rsidRDefault="000B0151" w:rsidP="00EF770A">
            <w:pPr>
              <w:rPr>
                <w:rFonts w:ascii="Arial" w:hAnsi="Arial" w:cs="Arial"/>
                <w:b/>
                <w:sz w:val="20"/>
                <w:szCs w:val="20"/>
              </w:rPr>
            </w:pPr>
            <w:r>
              <w:rPr>
                <w:rFonts w:ascii="Arial" w:hAnsi="Arial" w:cs="Arial"/>
                <w:b/>
                <w:sz w:val="20"/>
                <w:szCs w:val="20"/>
              </w:rPr>
              <w:t>TP LINK</w:t>
            </w:r>
          </w:p>
        </w:tc>
        <w:tc>
          <w:tcPr>
            <w:tcW w:w="1276"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95,00</w:t>
            </w:r>
          </w:p>
        </w:tc>
        <w:tc>
          <w:tcPr>
            <w:tcW w:w="1275"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3.800,00</w:t>
            </w:r>
          </w:p>
        </w:tc>
      </w:tr>
      <w:tr w:rsidR="00C47165" w:rsidRPr="00C47165" w:rsidTr="000B0151">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43</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Gravador de CD/DVD Interno – Interface SATA – Grava DVD/CD/DVDRW/CDRW/DVD-R(DL). Cor preta</w:t>
            </w:r>
          </w:p>
        </w:tc>
        <w:tc>
          <w:tcPr>
            <w:tcW w:w="1701" w:type="dxa"/>
            <w:vAlign w:val="center"/>
          </w:tcPr>
          <w:p w:rsidR="00C47165" w:rsidRPr="00C47165" w:rsidRDefault="000B0151" w:rsidP="00EF770A">
            <w:pPr>
              <w:rPr>
                <w:rFonts w:ascii="Arial" w:hAnsi="Arial" w:cs="Arial"/>
                <w:b/>
                <w:sz w:val="20"/>
                <w:szCs w:val="20"/>
              </w:rPr>
            </w:pPr>
            <w:r>
              <w:rPr>
                <w:rFonts w:ascii="Arial" w:hAnsi="Arial" w:cs="Arial"/>
                <w:b/>
                <w:sz w:val="20"/>
                <w:szCs w:val="20"/>
              </w:rPr>
              <w:t>LG</w:t>
            </w:r>
          </w:p>
        </w:tc>
        <w:tc>
          <w:tcPr>
            <w:tcW w:w="1276"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55,00</w:t>
            </w:r>
          </w:p>
        </w:tc>
        <w:tc>
          <w:tcPr>
            <w:tcW w:w="1275"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1.100,00</w:t>
            </w:r>
          </w:p>
        </w:tc>
      </w:tr>
      <w:tr w:rsidR="00C47165" w:rsidRPr="00C47165" w:rsidTr="000B0151">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44</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20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Gravador de CD/DVD Externo – Interface USB - Grava DVD/CD/DVDRW/CDRW/DVD-R(DL). Cor Preta</w:t>
            </w:r>
          </w:p>
        </w:tc>
        <w:tc>
          <w:tcPr>
            <w:tcW w:w="1701" w:type="dxa"/>
            <w:vAlign w:val="center"/>
          </w:tcPr>
          <w:p w:rsidR="00C47165" w:rsidRPr="00C47165" w:rsidRDefault="000B0151" w:rsidP="00EF770A">
            <w:pPr>
              <w:rPr>
                <w:rFonts w:ascii="Arial" w:hAnsi="Arial" w:cs="Arial"/>
                <w:b/>
                <w:sz w:val="20"/>
                <w:szCs w:val="20"/>
              </w:rPr>
            </w:pPr>
            <w:r>
              <w:rPr>
                <w:rFonts w:ascii="Arial" w:hAnsi="Arial" w:cs="Arial"/>
                <w:b/>
                <w:sz w:val="20"/>
                <w:szCs w:val="20"/>
              </w:rPr>
              <w:t>ASUS</w:t>
            </w:r>
          </w:p>
        </w:tc>
        <w:tc>
          <w:tcPr>
            <w:tcW w:w="1276"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115,99</w:t>
            </w:r>
          </w:p>
        </w:tc>
        <w:tc>
          <w:tcPr>
            <w:tcW w:w="1275"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2.319,80</w:t>
            </w:r>
          </w:p>
        </w:tc>
      </w:tr>
      <w:tr w:rsidR="00C47165" w:rsidRPr="00C47165" w:rsidTr="000B0151">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49</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50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3969"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TECLADO USB – PADRÃO ABNT – Cabo com comprimento mínimo de 1,8 m – Teclas macias – As letras não devem sumir facilmente, por pelo menos, 12 </w:t>
            </w:r>
            <w:proofErr w:type="gramStart"/>
            <w:r w:rsidRPr="00C47165">
              <w:rPr>
                <w:rFonts w:ascii="Arial" w:hAnsi="Arial" w:cs="Arial"/>
                <w:sz w:val="20"/>
                <w:szCs w:val="20"/>
              </w:rPr>
              <w:t>meses –Cor</w:t>
            </w:r>
            <w:proofErr w:type="gramEnd"/>
            <w:r w:rsidRPr="00C47165">
              <w:rPr>
                <w:rFonts w:ascii="Arial" w:hAnsi="Arial" w:cs="Arial"/>
                <w:sz w:val="20"/>
                <w:szCs w:val="20"/>
              </w:rPr>
              <w:t xml:space="preserve"> preta</w:t>
            </w:r>
          </w:p>
        </w:tc>
        <w:tc>
          <w:tcPr>
            <w:tcW w:w="1701" w:type="dxa"/>
            <w:vAlign w:val="center"/>
          </w:tcPr>
          <w:p w:rsidR="00C47165" w:rsidRPr="00C47165" w:rsidRDefault="000B0151" w:rsidP="00EF770A">
            <w:pPr>
              <w:rPr>
                <w:rFonts w:ascii="Arial" w:hAnsi="Arial" w:cs="Arial"/>
                <w:b/>
                <w:sz w:val="20"/>
                <w:szCs w:val="20"/>
              </w:rPr>
            </w:pPr>
            <w:r>
              <w:rPr>
                <w:rFonts w:ascii="Arial" w:hAnsi="Arial" w:cs="Arial"/>
                <w:b/>
                <w:sz w:val="20"/>
                <w:szCs w:val="20"/>
              </w:rPr>
              <w:t>MULTI LASER</w:t>
            </w:r>
          </w:p>
        </w:tc>
        <w:tc>
          <w:tcPr>
            <w:tcW w:w="1276"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20,00</w:t>
            </w:r>
          </w:p>
        </w:tc>
        <w:tc>
          <w:tcPr>
            <w:tcW w:w="1275" w:type="dxa"/>
            <w:vAlign w:val="center"/>
          </w:tcPr>
          <w:p w:rsidR="00C47165" w:rsidRPr="00C47165" w:rsidRDefault="000B0151" w:rsidP="00EF770A">
            <w:pPr>
              <w:jc w:val="right"/>
              <w:rPr>
                <w:rFonts w:ascii="Arial" w:hAnsi="Arial" w:cs="Arial"/>
                <w:b/>
                <w:sz w:val="20"/>
                <w:szCs w:val="20"/>
              </w:rPr>
            </w:pPr>
            <w:r>
              <w:rPr>
                <w:rFonts w:ascii="Arial" w:hAnsi="Arial" w:cs="Arial"/>
                <w:b/>
                <w:sz w:val="20"/>
                <w:szCs w:val="20"/>
              </w:rPr>
              <w:t>1.000,00</w:t>
            </w:r>
          </w:p>
        </w:tc>
      </w:tr>
    </w:tbl>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Default="00C47165" w:rsidP="00A7113E">
      <w:pPr>
        <w:pStyle w:val="Ttulo3"/>
        <w:tabs>
          <w:tab w:val="left" w:pos="0"/>
        </w:tabs>
        <w:ind w:left="0" w:firstLine="0"/>
        <w:jc w:val="left"/>
        <w:rPr>
          <w:rFonts w:ascii="Arial" w:hAnsi="Arial" w:cs="Arial"/>
          <w:b/>
          <w:sz w:val="20"/>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servidora VALKIRIA SUZANA MARTINS TREVISAN, que anotará em registro próprio todas as ocorrências relacionadas com a execução do mesmo, determinando o que for necessário à regularização das faltas ou 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lastRenderedPageBreak/>
        <w:t>Os itens, objeto desta contratação, deverão ser entregues de acordo com as especificações da cláusula 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Os materiais deverão ser entregues em até 10 (dez) dias, contados do recebimento pela DETENTORA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t xml:space="preserve">Por ocasião do recebimento dos materiais,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O aceite dos materiais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Fica estabelecido como limite às adesões por órgãos não participantes do registro de preços o quíntuplo do 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lastRenderedPageBreak/>
        <w:t xml:space="preserve">O pagamento será efetuado por meio de transferência bancária, na conta corrente nº </w:t>
      </w:r>
      <w:r w:rsidR="00444CE1">
        <w:rPr>
          <w:rFonts w:ascii="Arial" w:hAnsi="Arial" w:cs="Arial"/>
          <w:sz w:val="20"/>
          <w:szCs w:val="20"/>
        </w:rPr>
        <w:t>24.011-7</w:t>
      </w:r>
      <w:r w:rsidRPr="00C47165">
        <w:rPr>
          <w:rFonts w:ascii="Arial" w:hAnsi="Arial" w:cs="Arial"/>
          <w:sz w:val="20"/>
          <w:szCs w:val="20"/>
        </w:rPr>
        <w:t xml:space="preserve">, do Banco </w:t>
      </w:r>
      <w:r w:rsidR="00444CE1">
        <w:rPr>
          <w:rFonts w:ascii="Arial" w:hAnsi="Arial" w:cs="Arial"/>
          <w:sz w:val="20"/>
          <w:szCs w:val="20"/>
        </w:rPr>
        <w:t>DO BRASIL</w:t>
      </w:r>
      <w:r w:rsidRPr="00C47165">
        <w:rPr>
          <w:rFonts w:ascii="Arial" w:hAnsi="Arial" w:cs="Arial"/>
          <w:sz w:val="20"/>
          <w:szCs w:val="20"/>
        </w:rPr>
        <w:t xml:space="preserve">, agência nº </w:t>
      </w:r>
      <w:r w:rsidR="00444CE1">
        <w:rPr>
          <w:rFonts w:ascii="Arial" w:hAnsi="Arial" w:cs="Arial"/>
          <w:sz w:val="20"/>
          <w:szCs w:val="20"/>
        </w:rPr>
        <w:t>2103-2</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lastRenderedPageBreak/>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pelos custos inerentes a encargos tributários, sociais, fiscais, trabalhistas, 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Responsabilidades do órgão gerenciador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tabs>
          <w:tab w:val="left" w:pos="0"/>
          <w:tab w:val="left" w:pos="1134"/>
        </w:tabs>
        <w:ind w:left="0" w:firstLine="0"/>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Pr="00A7113E" w:rsidRDefault="00C47165" w:rsidP="00A7113E">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47165" w:rsidRPr="00C47165" w:rsidRDefault="00C47165" w:rsidP="00C47165">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C47165" w:rsidRPr="00A7113E"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C47165" w:rsidRPr="00C47165" w:rsidRDefault="00C47165" w:rsidP="00C47165">
      <w:pPr>
        <w:pStyle w:val="Corpodetexto31"/>
        <w:numPr>
          <w:ilvl w:val="1"/>
          <w:numId w:val="9"/>
        </w:numPr>
        <w:ind w:left="426" w:hanging="426"/>
        <w:rPr>
          <w:color w:val="auto"/>
          <w:sz w:val="20"/>
        </w:rPr>
      </w:pPr>
      <w:r w:rsidRPr="00C47165">
        <w:rPr>
          <w:color w:val="auto"/>
          <w:sz w:val="20"/>
        </w:rPr>
        <w:lastRenderedPageBreak/>
        <w:t>Na aplicação das penalidades serão admitidos os recursos previstos em lei, garantido o contraditório e a 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8" w:anchor="art87iii" w:history="1">
        <w:r w:rsidRPr="00C47165">
          <w:rPr>
            <w:rStyle w:val="Hyperlink"/>
            <w:rFonts w:cs="Arial"/>
          </w:rPr>
          <w:t>inciso III ou IV do caput do art. 87 da Lei nº 8.666/93</w:t>
        </w:r>
      </w:hyperlink>
      <w:r w:rsidRPr="00C47165">
        <w:rPr>
          <w:rFonts w:cs="Arial"/>
        </w:rPr>
        <w:t xml:space="preserve">, ou no </w:t>
      </w:r>
      <w:hyperlink r:id="rId9"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Pr="00A7113E"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O cancelamento de registros nas hipóteses previstas nas alíneas “a”, “b” e “d” será formalizado por despacho do órgão gerenciador, assegurado o contraditório e a ampla defesa.</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tabs>
          <w:tab w:val="left" w:pos="0"/>
          <w:tab w:val="left" w:pos="1134"/>
        </w:tabs>
        <w:ind w:left="0" w:firstLine="0"/>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295807" w:rsidRPr="00A7113E" w:rsidRDefault="00295807" w:rsidP="00295807">
      <w:pPr>
        <w:widowControl w:val="0"/>
        <w:suppressAutoHyphens/>
        <w:spacing w:after="0" w:line="240" w:lineRule="auto"/>
        <w:ind w:left="426"/>
        <w:jc w:val="both"/>
        <w:rPr>
          <w:rFonts w:ascii="Arial" w:hAnsi="Arial" w:cs="Arial"/>
          <w:sz w:val="20"/>
          <w:szCs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295807" w:rsidRDefault="00295807" w:rsidP="00295807">
      <w:pPr>
        <w:pStyle w:val="PargrafodaLista"/>
        <w:rPr>
          <w:sz w:val="20"/>
        </w:rPr>
      </w:pPr>
    </w:p>
    <w:p w:rsidR="00295807" w:rsidRPr="00A7113E" w:rsidRDefault="00295807" w:rsidP="00295807">
      <w:pPr>
        <w:widowControl w:val="0"/>
        <w:suppressAutoHyphens/>
        <w:spacing w:after="0" w:line="240" w:lineRule="auto"/>
        <w:ind w:left="426"/>
        <w:jc w:val="both"/>
        <w:rPr>
          <w:rFonts w:ascii="Arial" w:hAnsi="Arial" w:cs="Arial"/>
          <w:sz w:val="20"/>
          <w:szCs w:val="20"/>
        </w:rPr>
      </w:pPr>
    </w:p>
    <w:p w:rsidR="00295807" w:rsidRDefault="00C47165" w:rsidP="00295807">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295807" w:rsidRPr="00295807" w:rsidRDefault="00295807" w:rsidP="00295807">
      <w:pPr>
        <w:rPr>
          <w:lang w:eastAsia="ar-SA"/>
        </w:rPr>
      </w:pPr>
    </w:p>
    <w:p w:rsidR="00C47165"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295807" w:rsidRPr="00295807" w:rsidRDefault="00295807" w:rsidP="00295807">
      <w:pPr>
        <w:rPr>
          <w:lang w:eastAsia="ar-SA"/>
        </w:rPr>
      </w:pP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Pr="00C47165" w:rsidRDefault="00C47165" w:rsidP="00C47165">
      <w:pPr>
        <w:pStyle w:val="Corpodetexto21"/>
        <w:tabs>
          <w:tab w:val="left" w:pos="0"/>
        </w:tabs>
        <w:rPr>
          <w:b/>
          <w:bCs/>
          <w:sz w:val="20"/>
          <w:szCs w:val="20"/>
        </w:rPr>
      </w:pPr>
      <w:r w:rsidRPr="00C47165">
        <w:rPr>
          <w:b/>
          <w:bCs/>
          <w:sz w:val="20"/>
          <w:szCs w:val="20"/>
        </w:rPr>
        <w:t>CLÁUSULA DÉCIMA - DO FORO</w:t>
      </w: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Pr="00C47165" w:rsidRDefault="00C47165"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lastRenderedPageBreak/>
        <w:t>E, por estarem acordes, firmam o presente instrumento, juntamente com as testemunhas, em 04 (quatro) vias de igual teor, para todos os efeitos de direito.</w:t>
      </w:r>
    </w:p>
    <w:p w:rsidR="00C47165" w:rsidRPr="00C47165" w:rsidRDefault="00C47165" w:rsidP="00C47165">
      <w:pPr>
        <w:tabs>
          <w:tab w:val="left" w:pos="0"/>
        </w:tabs>
        <w:jc w:val="both"/>
        <w:rPr>
          <w:rFonts w:ascii="Arial" w:hAnsi="Arial" w:cs="Arial"/>
          <w:sz w:val="20"/>
          <w:szCs w:val="20"/>
        </w:rPr>
      </w:pPr>
    </w:p>
    <w:p w:rsidR="00C47165" w:rsidRPr="00C47165" w:rsidRDefault="00295807"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19 de março</w:t>
      </w:r>
      <w:r w:rsidR="00C47165" w:rsidRPr="00C47165">
        <w:rPr>
          <w:rFonts w:ascii="Arial" w:hAnsi="Arial" w:cs="Arial"/>
          <w:sz w:val="20"/>
          <w:szCs w:val="20"/>
        </w:rPr>
        <w:t xml:space="preserve"> 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295807" w:rsidP="00C47165">
      <w:pPr>
        <w:tabs>
          <w:tab w:val="left" w:pos="1134"/>
        </w:tabs>
        <w:jc w:val="center"/>
        <w:rPr>
          <w:rFonts w:ascii="Arial" w:hAnsi="Arial" w:cs="Arial"/>
          <w:sz w:val="20"/>
          <w:szCs w:val="20"/>
        </w:rPr>
      </w:pPr>
      <w:r>
        <w:rPr>
          <w:rFonts w:ascii="Arial" w:hAnsi="Arial" w:cs="Arial"/>
          <w:sz w:val="20"/>
          <w:szCs w:val="20"/>
        </w:rPr>
        <w:t>DHIEGO FRANCA</w:t>
      </w:r>
    </w:p>
    <w:p w:rsidR="00295807" w:rsidRPr="00C47165" w:rsidRDefault="00295807" w:rsidP="00C47165">
      <w:pPr>
        <w:tabs>
          <w:tab w:val="left" w:pos="1134"/>
        </w:tabs>
        <w:jc w:val="center"/>
        <w:rPr>
          <w:rFonts w:ascii="Arial" w:hAnsi="Arial" w:cs="Arial"/>
          <w:sz w:val="20"/>
          <w:szCs w:val="20"/>
        </w:rPr>
      </w:pPr>
      <w:r>
        <w:rPr>
          <w:rFonts w:ascii="Arial" w:hAnsi="Arial" w:cs="Arial"/>
          <w:sz w:val="20"/>
          <w:szCs w:val="20"/>
        </w:rPr>
        <w:t>DHIEGO FRANCA</w:t>
      </w: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CC112B" w:rsidRDefault="00CC112B"/>
    <w:sectPr w:rsidR="00CC112B" w:rsidSect="0032742C">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12B" w:rsidRDefault="00CC112B" w:rsidP="00CC112B">
      <w:pPr>
        <w:spacing w:after="0" w:line="240" w:lineRule="auto"/>
      </w:pPr>
      <w:r>
        <w:separator/>
      </w:r>
    </w:p>
  </w:endnote>
  <w:endnote w:type="continuationSeparator" w:id="1">
    <w:p w:rsidR="00CC112B" w:rsidRDefault="00CC112B" w:rsidP="00CC1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CC112B">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612619" w:rsidRPr="00A21A32" w:rsidRDefault="00CC112B">
                <w:pPr>
                  <w:pStyle w:val="Rodap"/>
                  <w:rPr>
                    <w:sz w:val="20"/>
                  </w:rPr>
                </w:pPr>
                <w:r w:rsidRPr="00A21A32">
                  <w:rPr>
                    <w:rStyle w:val="Nmerodepgina"/>
                    <w:sz w:val="20"/>
                  </w:rPr>
                  <w:fldChar w:fldCharType="begin"/>
                </w:r>
                <w:r w:rsidR="00A7113E" w:rsidRPr="00A21A32">
                  <w:rPr>
                    <w:rStyle w:val="Nmerodepgina"/>
                    <w:sz w:val="20"/>
                  </w:rPr>
                  <w:instrText xml:space="preserve"> PAGE </w:instrText>
                </w:r>
                <w:r w:rsidRPr="00A21A32">
                  <w:rPr>
                    <w:rStyle w:val="Nmerodepgina"/>
                    <w:sz w:val="20"/>
                  </w:rPr>
                  <w:fldChar w:fldCharType="separate"/>
                </w:r>
                <w:r w:rsidR="00295807">
                  <w:rPr>
                    <w:rStyle w:val="Nmerodepgina"/>
                    <w:noProof/>
                    <w:sz w:val="20"/>
                  </w:rPr>
                  <w:t>7</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12B" w:rsidRDefault="00CC112B" w:rsidP="00CC112B">
      <w:pPr>
        <w:spacing w:after="0" w:line="240" w:lineRule="auto"/>
      </w:pPr>
      <w:r>
        <w:separator/>
      </w:r>
    </w:p>
  </w:footnote>
  <w:footnote w:type="continuationSeparator" w:id="1">
    <w:p w:rsidR="00CC112B" w:rsidRDefault="00CC112B" w:rsidP="00CC1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CC112B" w:rsidP="009D4627">
    <w:pPr>
      <w:ind w:left="851"/>
      <w:rPr>
        <w:b/>
        <w:sz w:val="20"/>
      </w:rPr>
    </w:pPr>
    <w:r w:rsidRPr="00CC11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612619" w:rsidRPr="009D4627" w:rsidRDefault="00A7113E" w:rsidP="009D4627">
    <w:pPr>
      <w:ind w:left="851"/>
      <w:rPr>
        <w:sz w:val="20"/>
      </w:rPr>
    </w:pPr>
    <w:r>
      <w:rPr>
        <w:b/>
        <w:sz w:val="20"/>
      </w:rPr>
      <w:t xml:space="preserve"> </w:t>
    </w:r>
    <w:r w:rsidRPr="009D4627">
      <w:rPr>
        <w:sz w:val="20"/>
      </w:rPr>
      <w:t>ESTADO DE SANTA CATARINA</w:t>
    </w:r>
  </w:p>
  <w:p w:rsidR="00612619" w:rsidRDefault="00A7113E" w:rsidP="009D4627">
    <w:pPr>
      <w:ind w:left="851"/>
      <w:rPr>
        <w:b/>
        <w:sz w:val="20"/>
      </w:rPr>
    </w:pPr>
    <w:r w:rsidRPr="002A1068">
      <w:rPr>
        <w:b/>
        <w:sz w:val="20"/>
      </w:rPr>
      <w:t xml:space="preserve"> MUNICÍPIO DE JOAÇABA</w:t>
    </w:r>
  </w:p>
  <w:p w:rsidR="00612619" w:rsidRPr="002A1068" w:rsidRDefault="00295807" w:rsidP="009D4627">
    <w:pPr>
      <w:ind w:left="851"/>
      <w:rPr>
        <w:b/>
        <w:sz w:val="20"/>
      </w:rPr>
    </w:pPr>
  </w:p>
  <w:p w:rsidR="00612619" w:rsidRDefault="00295807" w:rsidP="009D4627">
    <w:pPr>
      <w:ind w:left="851"/>
      <w:rPr>
        <w:b/>
        <w:szCs w:val="24"/>
      </w:rPr>
    </w:pPr>
  </w:p>
  <w:p w:rsidR="00612619" w:rsidRPr="009D4627" w:rsidRDefault="00295807" w:rsidP="009D4627">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C47165"/>
    <w:rsid w:val="000B0151"/>
    <w:rsid w:val="00295807"/>
    <w:rsid w:val="00444CE1"/>
    <w:rsid w:val="005254E3"/>
    <w:rsid w:val="00692C1D"/>
    <w:rsid w:val="00A7113E"/>
    <w:rsid w:val="00C47165"/>
    <w:rsid w:val="00CC11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2B"/>
  </w:style>
  <w:style w:type="paragraph" w:styleId="Ttulo1">
    <w:name w:val="heading 1"/>
    <w:basedOn w:val="Normal"/>
    <w:next w:val="Normal"/>
    <w:link w:val="Ttulo1Char"/>
    <w:qFormat/>
    <w:rsid w:val="00C47165"/>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2486</Words>
  <Characters>13430</Characters>
  <Application>Microsoft Office Word</Application>
  <DocSecurity>0</DocSecurity>
  <Lines>111</Lines>
  <Paragraphs>31</Paragraphs>
  <ScaleCrop>false</ScaleCrop>
  <Company>PMJ</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2018-03-19T18:30:00Z</dcterms:created>
  <dcterms:modified xsi:type="dcterms:W3CDTF">2018-03-19T18:40:00Z</dcterms:modified>
</cp:coreProperties>
</file>