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A72F91">
        <w:rPr>
          <w:rFonts w:ascii="Arial" w:hAnsi="Arial" w:cs="Arial"/>
          <w:b/>
          <w:sz w:val="20"/>
          <w:szCs w:val="20"/>
        </w:rPr>
        <w:t>/PMJ/04</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A72F91">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A72F91" w:rsidP="00370608">
            <w:pPr>
              <w:autoSpaceDE w:val="0"/>
              <w:autoSpaceDN w:val="0"/>
              <w:adjustRightInd w:val="0"/>
              <w:spacing w:after="0"/>
              <w:rPr>
                <w:rFonts w:ascii="Arial" w:hAnsi="Arial" w:cs="Arial"/>
                <w:b/>
                <w:sz w:val="20"/>
                <w:szCs w:val="20"/>
              </w:rPr>
            </w:pPr>
            <w:r>
              <w:rPr>
                <w:rFonts w:ascii="Arial" w:hAnsi="Arial" w:cs="Arial"/>
                <w:b/>
                <w:sz w:val="20"/>
                <w:szCs w:val="20"/>
              </w:rPr>
              <w:t>LUBRIMAC DISTRIB DE PEÇAS E LUBRIFICANTES LTDA</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RODOV. FREI BELMIRO BRONDANI – 49-3537-1448</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TREZE TILIAS/SC</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23.083.960/0001-68</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ROSELI ALVES DE BRITO DE OLIVEIRA</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TREZE TILIAS/SC</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032.062.799-33</w:t>
            </w:r>
          </w:p>
        </w:tc>
      </w:tr>
      <w:tr w:rsidR="00370608" w:rsidRPr="00370608" w:rsidTr="00A72F91">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416453" w:rsidP="00370608">
            <w:pPr>
              <w:autoSpaceDE w:val="0"/>
              <w:autoSpaceDN w:val="0"/>
              <w:adjustRightInd w:val="0"/>
              <w:spacing w:after="0"/>
              <w:rPr>
                <w:rFonts w:ascii="Arial" w:hAnsi="Arial" w:cs="Arial"/>
                <w:b/>
                <w:sz w:val="20"/>
                <w:szCs w:val="20"/>
              </w:rPr>
            </w:pPr>
            <w:r>
              <w:rPr>
                <w:rFonts w:ascii="Arial" w:hAnsi="Arial" w:cs="Arial"/>
                <w:b/>
                <w:sz w:val="20"/>
                <w:szCs w:val="20"/>
              </w:rPr>
              <w:t>3747973</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253"/>
        <w:gridCol w:w="1134"/>
        <w:gridCol w:w="1275"/>
        <w:gridCol w:w="1134"/>
      </w:tblGrid>
      <w:tr w:rsidR="00370608" w:rsidRPr="00370608" w:rsidTr="00A72F91">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4253"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275"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A72F91">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4</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522</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4253"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de base mineral SAE 15W40 API </w:t>
            </w:r>
            <w:proofErr w:type="gramStart"/>
            <w:r w:rsidRPr="00370608">
              <w:rPr>
                <w:rFonts w:ascii="Arial" w:hAnsi="Arial" w:cs="Arial"/>
                <w:sz w:val="20"/>
                <w:szCs w:val="20"/>
              </w:rPr>
              <w:t>4</w:t>
            </w:r>
            <w:proofErr w:type="gramEnd"/>
            <w:r w:rsidRPr="00370608">
              <w:rPr>
                <w:rFonts w:ascii="Arial" w:hAnsi="Arial" w:cs="Arial"/>
                <w:sz w:val="20"/>
                <w:szCs w:val="20"/>
              </w:rPr>
              <w:t xml:space="preserve"> ACEA E2/B3 para motores a Diesel (litro)</w:t>
            </w:r>
          </w:p>
        </w:tc>
        <w:tc>
          <w:tcPr>
            <w:tcW w:w="1134" w:type="dxa"/>
            <w:vAlign w:val="center"/>
          </w:tcPr>
          <w:p w:rsidR="00370608" w:rsidRPr="00370608" w:rsidRDefault="005D4BE5" w:rsidP="00370608">
            <w:pPr>
              <w:spacing w:after="0"/>
              <w:jc w:val="center"/>
              <w:rPr>
                <w:rFonts w:ascii="Arial" w:hAnsi="Arial" w:cs="Arial"/>
                <w:sz w:val="20"/>
                <w:szCs w:val="20"/>
              </w:rPr>
            </w:pPr>
            <w:r>
              <w:rPr>
                <w:rFonts w:ascii="Arial" w:hAnsi="Arial" w:cs="Arial"/>
                <w:sz w:val="20"/>
                <w:szCs w:val="20"/>
              </w:rPr>
              <w:t>PETROL</w:t>
            </w:r>
          </w:p>
        </w:tc>
        <w:tc>
          <w:tcPr>
            <w:tcW w:w="1275" w:type="dxa"/>
            <w:vAlign w:val="center"/>
          </w:tcPr>
          <w:p w:rsidR="00370608" w:rsidRPr="00370608" w:rsidRDefault="005D4BE5" w:rsidP="00370608">
            <w:pPr>
              <w:spacing w:after="0"/>
              <w:jc w:val="right"/>
              <w:rPr>
                <w:rFonts w:ascii="Arial" w:hAnsi="Arial" w:cs="Arial"/>
                <w:sz w:val="20"/>
                <w:szCs w:val="20"/>
              </w:rPr>
            </w:pPr>
            <w:r>
              <w:rPr>
                <w:rFonts w:ascii="Arial" w:hAnsi="Arial" w:cs="Arial"/>
                <w:sz w:val="20"/>
                <w:szCs w:val="20"/>
              </w:rPr>
              <w:t>8,00</w:t>
            </w:r>
          </w:p>
        </w:tc>
        <w:tc>
          <w:tcPr>
            <w:tcW w:w="1134" w:type="dxa"/>
            <w:vAlign w:val="center"/>
          </w:tcPr>
          <w:p w:rsidR="00370608" w:rsidRPr="00370608" w:rsidRDefault="005D4BE5" w:rsidP="00370608">
            <w:pPr>
              <w:spacing w:after="0"/>
              <w:jc w:val="right"/>
              <w:rPr>
                <w:rFonts w:ascii="Arial" w:hAnsi="Arial" w:cs="Arial"/>
                <w:sz w:val="20"/>
                <w:szCs w:val="20"/>
              </w:rPr>
            </w:pPr>
            <w:r>
              <w:rPr>
                <w:rFonts w:ascii="Arial" w:hAnsi="Arial" w:cs="Arial"/>
                <w:sz w:val="20"/>
                <w:szCs w:val="20"/>
              </w:rPr>
              <w:t>4.176,00</w:t>
            </w:r>
          </w:p>
        </w:tc>
      </w:tr>
      <w:tr w:rsidR="00370608" w:rsidRPr="00370608" w:rsidTr="00A72F91">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7</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4253"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Lubrificante 15W40 para Motores a Gasolina/Álcool (litro)</w:t>
            </w:r>
          </w:p>
        </w:tc>
        <w:tc>
          <w:tcPr>
            <w:tcW w:w="1134" w:type="dxa"/>
            <w:vAlign w:val="center"/>
          </w:tcPr>
          <w:p w:rsidR="00370608" w:rsidRPr="00370608" w:rsidRDefault="00377ECF" w:rsidP="00370608">
            <w:pPr>
              <w:spacing w:after="0"/>
              <w:jc w:val="center"/>
              <w:rPr>
                <w:rFonts w:ascii="Arial" w:hAnsi="Arial" w:cs="Arial"/>
                <w:sz w:val="20"/>
                <w:szCs w:val="20"/>
              </w:rPr>
            </w:pPr>
            <w:r>
              <w:rPr>
                <w:rFonts w:ascii="Arial" w:hAnsi="Arial" w:cs="Arial"/>
                <w:sz w:val="20"/>
                <w:szCs w:val="20"/>
              </w:rPr>
              <w:t>PETROL</w:t>
            </w:r>
          </w:p>
        </w:tc>
        <w:tc>
          <w:tcPr>
            <w:tcW w:w="1275" w:type="dxa"/>
            <w:vAlign w:val="center"/>
          </w:tcPr>
          <w:p w:rsidR="00370608" w:rsidRPr="00370608" w:rsidRDefault="00377ECF" w:rsidP="00370608">
            <w:pPr>
              <w:spacing w:after="0"/>
              <w:jc w:val="right"/>
              <w:rPr>
                <w:rFonts w:ascii="Arial" w:hAnsi="Arial" w:cs="Arial"/>
                <w:sz w:val="20"/>
                <w:szCs w:val="20"/>
              </w:rPr>
            </w:pPr>
            <w:r>
              <w:rPr>
                <w:rFonts w:ascii="Arial" w:hAnsi="Arial" w:cs="Arial"/>
                <w:sz w:val="20"/>
                <w:szCs w:val="20"/>
              </w:rPr>
              <w:t>9,79</w:t>
            </w:r>
          </w:p>
        </w:tc>
        <w:tc>
          <w:tcPr>
            <w:tcW w:w="1134" w:type="dxa"/>
            <w:vAlign w:val="center"/>
          </w:tcPr>
          <w:p w:rsidR="00370608" w:rsidRPr="00370608" w:rsidRDefault="00377ECF" w:rsidP="00370608">
            <w:pPr>
              <w:spacing w:after="0"/>
              <w:jc w:val="right"/>
              <w:rPr>
                <w:rFonts w:ascii="Arial" w:hAnsi="Arial" w:cs="Arial"/>
                <w:sz w:val="20"/>
                <w:szCs w:val="20"/>
              </w:rPr>
            </w:pPr>
            <w:r>
              <w:rPr>
                <w:rFonts w:ascii="Arial" w:hAnsi="Arial" w:cs="Arial"/>
                <w:sz w:val="20"/>
                <w:szCs w:val="20"/>
              </w:rPr>
              <w:t>489,50</w:t>
            </w:r>
          </w:p>
        </w:tc>
      </w:tr>
      <w:tr w:rsidR="00370608" w:rsidRPr="00370608" w:rsidTr="00A72F9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37</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253"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Hidráulico 10 W HYDO (balde com 20 litros) – equipamentos Caterpillar</w:t>
            </w:r>
          </w:p>
        </w:tc>
        <w:tc>
          <w:tcPr>
            <w:tcW w:w="1134" w:type="dxa"/>
            <w:vAlign w:val="center"/>
          </w:tcPr>
          <w:p w:rsidR="00370608" w:rsidRPr="00370608" w:rsidRDefault="00377ECF" w:rsidP="00370608">
            <w:pPr>
              <w:spacing w:after="0"/>
              <w:jc w:val="center"/>
              <w:rPr>
                <w:rFonts w:ascii="Arial" w:hAnsi="Arial" w:cs="Arial"/>
                <w:sz w:val="20"/>
                <w:szCs w:val="20"/>
              </w:rPr>
            </w:pPr>
            <w:r>
              <w:rPr>
                <w:rFonts w:ascii="Arial" w:hAnsi="Arial" w:cs="Arial"/>
                <w:sz w:val="20"/>
                <w:szCs w:val="20"/>
              </w:rPr>
              <w:t>PETROL</w:t>
            </w:r>
          </w:p>
        </w:tc>
        <w:tc>
          <w:tcPr>
            <w:tcW w:w="1275" w:type="dxa"/>
            <w:vAlign w:val="center"/>
          </w:tcPr>
          <w:p w:rsidR="00370608" w:rsidRPr="00370608" w:rsidRDefault="00377ECF" w:rsidP="00370608">
            <w:pPr>
              <w:spacing w:after="0"/>
              <w:jc w:val="right"/>
              <w:rPr>
                <w:rFonts w:ascii="Arial" w:hAnsi="Arial" w:cs="Arial"/>
                <w:sz w:val="20"/>
                <w:szCs w:val="20"/>
              </w:rPr>
            </w:pPr>
            <w:r>
              <w:rPr>
                <w:rFonts w:ascii="Arial" w:hAnsi="Arial" w:cs="Arial"/>
                <w:sz w:val="20"/>
                <w:szCs w:val="20"/>
              </w:rPr>
              <w:t>180,00</w:t>
            </w:r>
          </w:p>
        </w:tc>
        <w:tc>
          <w:tcPr>
            <w:tcW w:w="1134" w:type="dxa"/>
            <w:vAlign w:val="center"/>
          </w:tcPr>
          <w:p w:rsidR="00370608" w:rsidRPr="00370608" w:rsidRDefault="00377ECF" w:rsidP="00370608">
            <w:pPr>
              <w:spacing w:after="0"/>
              <w:jc w:val="right"/>
              <w:rPr>
                <w:rFonts w:ascii="Arial" w:hAnsi="Arial" w:cs="Arial"/>
                <w:sz w:val="20"/>
                <w:szCs w:val="20"/>
              </w:rPr>
            </w:pPr>
            <w:r>
              <w:rPr>
                <w:rFonts w:ascii="Arial" w:hAnsi="Arial" w:cs="Arial"/>
                <w:sz w:val="20"/>
                <w:szCs w:val="20"/>
              </w:rPr>
              <w:t>9.000,00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lastRenderedPageBreak/>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O pagamento será efetuado por meio de transferência bancária</w:t>
      </w:r>
      <w:r w:rsidR="005209E9">
        <w:rPr>
          <w:rFonts w:ascii="Arial" w:hAnsi="Arial" w:cs="Arial"/>
          <w:sz w:val="20"/>
          <w:szCs w:val="20"/>
        </w:rPr>
        <w:t>, na conta corrente nº 76.253-9</w:t>
      </w:r>
      <w:r w:rsidRPr="00370608">
        <w:rPr>
          <w:rFonts w:ascii="Arial" w:hAnsi="Arial" w:cs="Arial"/>
          <w:sz w:val="20"/>
          <w:szCs w:val="20"/>
        </w:rPr>
        <w:t xml:space="preserve">, do Banco </w:t>
      </w:r>
      <w:r w:rsidR="005209E9">
        <w:rPr>
          <w:rFonts w:ascii="Arial" w:hAnsi="Arial" w:cs="Arial"/>
          <w:sz w:val="20"/>
          <w:szCs w:val="20"/>
        </w:rPr>
        <w:t>SICREDI</w:t>
      </w:r>
      <w:r w:rsidRPr="00370608">
        <w:rPr>
          <w:rFonts w:ascii="Arial" w:hAnsi="Arial" w:cs="Arial"/>
          <w:sz w:val="20"/>
          <w:szCs w:val="20"/>
        </w:rPr>
        <w:t xml:space="preserve">, agência nº </w:t>
      </w:r>
      <w:r w:rsidR="005209E9">
        <w:rPr>
          <w:rFonts w:ascii="Arial" w:hAnsi="Arial" w:cs="Arial"/>
          <w:sz w:val="20"/>
          <w:szCs w:val="20"/>
        </w:rPr>
        <w:t>0737</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lastRenderedPageBreak/>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lastRenderedPageBreak/>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O sistema de registro de preços deste Município tem como objetivo manter na entidade o registro de propostas vantajosas e, segundo sua conveniência, promover as contrações junto as DETENTORA(S) desta </w:t>
      </w:r>
      <w:r w:rsidRPr="00370608">
        <w:rPr>
          <w:rFonts w:ascii="Arial" w:hAnsi="Arial" w:cs="Arial"/>
          <w:sz w:val="20"/>
          <w:szCs w:val="20"/>
        </w:rPr>
        <w:lastRenderedPageBreak/>
        <w:t>Ata.</w:t>
      </w:r>
    </w:p>
    <w:p w:rsidR="00370608" w:rsidRPr="00370608" w:rsidRDefault="00370608" w:rsidP="00370608">
      <w:pPr>
        <w:widowControl w:val="0"/>
        <w:spacing w:after="0"/>
        <w:ind w:left="426"/>
        <w:jc w:val="both"/>
        <w:rPr>
          <w:rFonts w:ascii="Arial" w:hAnsi="Arial" w:cs="Arial"/>
          <w:sz w:val="20"/>
          <w:szCs w:val="20"/>
        </w:rPr>
      </w:pPr>
    </w:p>
    <w:p w:rsidR="00370608" w:rsidRPr="00EC3DA8" w:rsidRDefault="00370608" w:rsidP="00EC3DA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EC3DA8" w:rsidRDefault="00370608" w:rsidP="00EC3DA8">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EC3DA8" w:rsidRDefault="00370608" w:rsidP="00EC3DA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EC3DA8" w:rsidP="00370608">
      <w:pPr>
        <w:tabs>
          <w:tab w:val="left" w:pos="1134"/>
        </w:tabs>
        <w:spacing w:after="0"/>
        <w:jc w:val="center"/>
        <w:rPr>
          <w:rFonts w:ascii="Arial" w:hAnsi="Arial" w:cs="Arial"/>
          <w:sz w:val="20"/>
          <w:szCs w:val="20"/>
        </w:rPr>
      </w:pPr>
      <w:r>
        <w:rPr>
          <w:rFonts w:ascii="Arial" w:hAnsi="Arial" w:cs="Arial"/>
          <w:sz w:val="20"/>
          <w:szCs w:val="20"/>
        </w:rPr>
        <w:t>LUBRIMAC DISTRIBUIDORA DE LUBRIFICANTES LTDA</w:t>
      </w:r>
    </w:p>
    <w:p w:rsidR="00EC3DA8" w:rsidRPr="00370608" w:rsidRDefault="00EC3DA8" w:rsidP="00370608">
      <w:pPr>
        <w:tabs>
          <w:tab w:val="left" w:pos="1134"/>
        </w:tabs>
        <w:spacing w:after="0"/>
        <w:jc w:val="center"/>
        <w:rPr>
          <w:rFonts w:ascii="Arial" w:hAnsi="Arial" w:cs="Arial"/>
          <w:sz w:val="20"/>
          <w:szCs w:val="20"/>
        </w:rPr>
      </w:pPr>
      <w:r>
        <w:rPr>
          <w:rFonts w:ascii="Arial" w:hAnsi="Arial" w:cs="Arial"/>
          <w:sz w:val="20"/>
          <w:szCs w:val="20"/>
        </w:rPr>
        <w:t>ROSELI ALVES DE BRITO DE OLIVEIRA</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A72F91">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BE5" w:rsidRDefault="005D4BE5" w:rsidP="00AB0071">
      <w:pPr>
        <w:spacing w:after="0" w:line="240" w:lineRule="auto"/>
      </w:pPr>
      <w:r>
        <w:separator/>
      </w:r>
    </w:p>
  </w:endnote>
  <w:endnote w:type="continuationSeparator" w:id="1">
    <w:p w:rsidR="005D4BE5" w:rsidRDefault="005D4BE5"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5" w:rsidRDefault="005D4BE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5D4BE5" w:rsidRDefault="005D4BE5">
                <w:pPr>
                  <w:pStyle w:val="Rodap"/>
                </w:pPr>
                <w:r>
                  <w:rPr>
                    <w:rStyle w:val="Nmerodepgina"/>
                  </w:rPr>
                  <w:fldChar w:fldCharType="begin"/>
                </w:r>
                <w:r>
                  <w:rPr>
                    <w:rStyle w:val="Nmerodepgina"/>
                  </w:rPr>
                  <w:instrText xml:space="preserve"> PAGE </w:instrText>
                </w:r>
                <w:r>
                  <w:rPr>
                    <w:rStyle w:val="Nmerodepgina"/>
                  </w:rPr>
                  <w:fldChar w:fldCharType="separate"/>
                </w:r>
                <w:r w:rsidR="00EC3DA8">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BE5" w:rsidRDefault="005D4BE5" w:rsidP="00AB0071">
      <w:pPr>
        <w:spacing w:after="0" w:line="240" w:lineRule="auto"/>
      </w:pPr>
      <w:r>
        <w:separator/>
      </w:r>
    </w:p>
  </w:footnote>
  <w:footnote w:type="continuationSeparator" w:id="1">
    <w:p w:rsidR="005D4BE5" w:rsidRDefault="005D4BE5"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5" w:rsidRPr="006948D2" w:rsidRDefault="005D4BE5" w:rsidP="00A72F91">
    <w:pPr>
      <w:ind w:left="993"/>
      <w:rPr>
        <w:sz w:val="20"/>
      </w:rPr>
    </w:pPr>
    <w:r w:rsidRPr="00E84D50">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D4BE5" w:rsidRPr="00715E68" w:rsidRDefault="005D4BE5" w:rsidP="00A72F91">
    <w:pPr>
      <w:ind w:left="993"/>
      <w:rPr>
        <w:b/>
        <w:sz w:val="20"/>
      </w:rPr>
    </w:pPr>
    <w:r w:rsidRPr="00715E68">
      <w:rPr>
        <w:b/>
        <w:sz w:val="20"/>
      </w:rPr>
      <w:t>MUNICÍPIO DE JOAÇABA</w:t>
    </w:r>
  </w:p>
  <w:p w:rsidR="005D4BE5" w:rsidRDefault="005D4BE5" w:rsidP="00A72F91">
    <w:pPr>
      <w:ind w:left="993"/>
      <w:rPr>
        <w:sz w:val="20"/>
      </w:rPr>
    </w:pPr>
  </w:p>
  <w:p w:rsidR="005D4BE5" w:rsidRDefault="005D4BE5" w:rsidP="00A72F91">
    <w:pPr>
      <w:ind w:left="1276"/>
      <w:rPr>
        <w:sz w:val="20"/>
      </w:rPr>
    </w:pPr>
  </w:p>
  <w:p w:rsidR="005D4BE5" w:rsidRPr="000F6032" w:rsidRDefault="005D4BE5" w:rsidP="00A72F91">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A176E"/>
    <w:rsid w:val="000C393E"/>
    <w:rsid w:val="00370608"/>
    <w:rsid w:val="00377ECF"/>
    <w:rsid w:val="00416453"/>
    <w:rsid w:val="004D51DF"/>
    <w:rsid w:val="005040F7"/>
    <w:rsid w:val="005209E9"/>
    <w:rsid w:val="005D4BE5"/>
    <w:rsid w:val="00630A79"/>
    <w:rsid w:val="00843A7A"/>
    <w:rsid w:val="00A72F91"/>
    <w:rsid w:val="00AB0071"/>
    <w:rsid w:val="00D108B8"/>
    <w:rsid w:val="00E84D50"/>
    <w:rsid w:val="00EC3D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2566</Words>
  <Characters>13862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2018-01-03T17:13:00Z</dcterms:created>
  <dcterms:modified xsi:type="dcterms:W3CDTF">2018-01-03T17:37:00Z</dcterms:modified>
</cp:coreProperties>
</file>