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302D86">
        <w:rPr>
          <w:rFonts w:ascii="Arial" w:hAnsi="Arial" w:cs="Arial"/>
          <w:b/>
          <w:sz w:val="20"/>
          <w:szCs w:val="20"/>
        </w:rPr>
        <w:t>/2017/FMS/03</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302D86">
        <w:tc>
          <w:tcPr>
            <w:tcW w:w="402" w:type="dxa"/>
            <w:vMerge w:val="restart"/>
            <w:vAlign w:val="center"/>
          </w:tcPr>
          <w:p w:rsidR="005F7F19" w:rsidRPr="005F7F19" w:rsidRDefault="005F7F19" w:rsidP="00302D86">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C17F0D" w:rsidP="00302D86">
            <w:pPr>
              <w:autoSpaceDE w:val="0"/>
              <w:autoSpaceDN w:val="0"/>
              <w:adjustRightInd w:val="0"/>
              <w:rPr>
                <w:rFonts w:ascii="Arial" w:hAnsi="Arial" w:cs="Arial"/>
                <w:b/>
                <w:sz w:val="20"/>
                <w:szCs w:val="20"/>
              </w:rPr>
            </w:pPr>
            <w:r>
              <w:rPr>
                <w:rFonts w:ascii="Arial" w:hAnsi="Arial" w:cs="Arial"/>
                <w:b/>
                <w:sz w:val="20"/>
                <w:szCs w:val="20"/>
              </w:rPr>
              <w:t>ALTERMED MATERIAL MEDICO HOSPITALAR LTDA</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C17F0D" w:rsidP="00C17F0D">
            <w:pPr>
              <w:autoSpaceDE w:val="0"/>
              <w:autoSpaceDN w:val="0"/>
              <w:adjustRightInd w:val="0"/>
              <w:rPr>
                <w:rFonts w:ascii="Arial" w:hAnsi="Arial" w:cs="Arial"/>
                <w:b/>
                <w:sz w:val="20"/>
                <w:szCs w:val="20"/>
              </w:rPr>
            </w:pPr>
            <w:r>
              <w:rPr>
                <w:rFonts w:ascii="Arial" w:hAnsi="Arial" w:cs="Arial"/>
                <w:b/>
                <w:sz w:val="20"/>
                <w:szCs w:val="20"/>
              </w:rPr>
              <w:t>ESTRADA BOA ESPERANÇA, 2320 – 47-</w:t>
            </w:r>
            <w:r w:rsidR="00454A82">
              <w:rPr>
                <w:rFonts w:ascii="Arial" w:hAnsi="Arial" w:cs="Arial"/>
                <w:b/>
                <w:sz w:val="20"/>
                <w:szCs w:val="20"/>
              </w:rPr>
              <w:t>3520-9000</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C17F0D" w:rsidP="00302D86">
            <w:pPr>
              <w:autoSpaceDE w:val="0"/>
              <w:autoSpaceDN w:val="0"/>
              <w:adjustRightInd w:val="0"/>
              <w:rPr>
                <w:rFonts w:ascii="Arial" w:hAnsi="Arial" w:cs="Arial"/>
                <w:b/>
                <w:sz w:val="20"/>
                <w:szCs w:val="20"/>
              </w:rPr>
            </w:pPr>
            <w:r>
              <w:rPr>
                <w:rFonts w:ascii="Arial" w:hAnsi="Arial" w:cs="Arial"/>
                <w:b/>
                <w:sz w:val="20"/>
                <w:szCs w:val="20"/>
              </w:rPr>
              <w:t>00.802.002/0001-02 – RIO DO SUL/SC</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p>
        </w:tc>
        <w:tc>
          <w:tcPr>
            <w:tcW w:w="6984" w:type="dxa"/>
            <w:vAlign w:val="center"/>
          </w:tcPr>
          <w:p w:rsidR="005F7F19" w:rsidRPr="005F7F19" w:rsidRDefault="005F7F19" w:rsidP="00302D86">
            <w:pPr>
              <w:autoSpaceDE w:val="0"/>
              <w:autoSpaceDN w:val="0"/>
              <w:adjustRightInd w:val="0"/>
              <w:rPr>
                <w:rFonts w:ascii="Arial" w:hAnsi="Arial" w:cs="Arial"/>
                <w:b/>
                <w:sz w:val="20"/>
                <w:szCs w:val="20"/>
              </w:rPr>
            </w:pP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454A82" w:rsidP="00302D86">
            <w:pPr>
              <w:autoSpaceDE w:val="0"/>
              <w:autoSpaceDN w:val="0"/>
              <w:adjustRightInd w:val="0"/>
              <w:rPr>
                <w:rFonts w:ascii="Arial" w:hAnsi="Arial" w:cs="Arial"/>
                <w:b/>
                <w:sz w:val="20"/>
                <w:szCs w:val="20"/>
              </w:rPr>
            </w:pPr>
            <w:r>
              <w:rPr>
                <w:rFonts w:ascii="Arial" w:hAnsi="Arial" w:cs="Arial"/>
                <w:b/>
                <w:sz w:val="20"/>
                <w:szCs w:val="20"/>
              </w:rPr>
              <w:t>ANACLETO FERRARI</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454A82" w:rsidP="00302D86">
            <w:pPr>
              <w:autoSpaceDE w:val="0"/>
              <w:autoSpaceDN w:val="0"/>
              <w:adjustRightInd w:val="0"/>
              <w:rPr>
                <w:rFonts w:ascii="Arial" w:hAnsi="Arial" w:cs="Arial"/>
                <w:b/>
                <w:sz w:val="20"/>
                <w:szCs w:val="20"/>
              </w:rPr>
            </w:pPr>
            <w:r>
              <w:rPr>
                <w:rFonts w:ascii="Arial" w:hAnsi="Arial" w:cs="Arial"/>
                <w:b/>
                <w:sz w:val="20"/>
                <w:szCs w:val="20"/>
              </w:rPr>
              <w:t>RIO DO SUL/SC</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454A82" w:rsidP="00302D86">
            <w:pPr>
              <w:autoSpaceDE w:val="0"/>
              <w:autoSpaceDN w:val="0"/>
              <w:adjustRightInd w:val="0"/>
              <w:rPr>
                <w:rFonts w:ascii="Arial" w:hAnsi="Arial" w:cs="Arial"/>
                <w:b/>
                <w:sz w:val="20"/>
                <w:szCs w:val="20"/>
              </w:rPr>
            </w:pPr>
            <w:r>
              <w:rPr>
                <w:rFonts w:ascii="Arial" w:hAnsi="Arial" w:cs="Arial"/>
                <w:b/>
                <w:sz w:val="20"/>
                <w:szCs w:val="20"/>
              </w:rPr>
              <w:t>523.140.819-00</w:t>
            </w:r>
          </w:p>
        </w:tc>
      </w:tr>
      <w:tr w:rsidR="005F7F19" w:rsidRPr="005F7F19" w:rsidTr="00302D86">
        <w:tc>
          <w:tcPr>
            <w:tcW w:w="402" w:type="dxa"/>
            <w:vMerge/>
          </w:tcPr>
          <w:p w:rsidR="005F7F19" w:rsidRPr="005F7F19" w:rsidRDefault="005F7F19" w:rsidP="00302D86">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302D86">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454A82" w:rsidP="00302D86">
            <w:pPr>
              <w:autoSpaceDE w:val="0"/>
              <w:autoSpaceDN w:val="0"/>
              <w:adjustRightInd w:val="0"/>
              <w:rPr>
                <w:rFonts w:ascii="Arial" w:hAnsi="Arial" w:cs="Arial"/>
                <w:b/>
                <w:sz w:val="20"/>
                <w:szCs w:val="20"/>
              </w:rPr>
            </w:pPr>
            <w:r>
              <w:rPr>
                <w:rFonts w:ascii="Arial" w:hAnsi="Arial" w:cs="Arial"/>
                <w:b/>
                <w:sz w:val="20"/>
                <w:szCs w:val="20"/>
              </w:rPr>
              <w:t>1.428.772</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114036" w:rsidRDefault="005F7F19" w:rsidP="00114036">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276"/>
        <w:gridCol w:w="1417"/>
        <w:gridCol w:w="1134"/>
      </w:tblGrid>
      <w:tr w:rsidR="005F7F19" w:rsidRPr="005F7F19" w:rsidTr="00114036">
        <w:tc>
          <w:tcPr>
            <w:tcW w:w="672" w:type="dxa"/>
            <w:shd w:val="clear" w:color="auto" w:fill="auto"/>
            <w:vAlign w:val="center"/>
          </w:tcPr>
          <w:p w:rsidR="005F7F19" w:rsidRPr="005F7F19" w:rsidRDefault="005F7F19" w:rsidP="00302D86">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302D86">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302D86">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302D86">
            <w:pPr>
              <w:snapToGrid w:val="0"/>
              <w:jc w:val="center"/>
              <w:rPr>
                <w:rFonts w:ascii="Arial" w:hAnsi="Arial" w:cs="Arial"/>
                <w:sz w:val="20"/>
                <w:szCs w:val="20"/>
                <w:lang w:val="pt-PT"/>
              </w:rPr>
            </w:pPr>
            <w:r w:rsidRPr="005F7F19">
              <w:rPr>
                <w:rFonts w:ascii="Arial" w:hAnsi="Arial" w:cs="Arial"/>
                <w:sz w:val="20"/>
                <w:szCs w:val="20"/>
                <w:lang w:val="pt-PT"/>
              </w:rPr>
              <w:t>UN</w:t>
            </w:r>
          </w:p>
        </w:tc>
        <w:tc>
          <w:tcPr>
            <w:tcW w:w="1276" w:type="dxa"/>
            <w:shd w:val="clear" w:color="auto" w:fill="auto"/>
            <w:vAlign w:val="center"/>
          </w:tcPr>
          <w:p w:rsidR="005F7F19" w:rsidRPr="005F7F19" w:rsidRDefault="005F7F19" w:rsidP="00302D86">
            <w:pPr>
              <w:pStyle w:val="Ttulo8"/>
              <w:snapToGrid w:val="0"/>
              <w:rPr>
                <w:rFonts w:cs="Arial"/>
                <w:b w:val="0"/>
                <w:lang w:val="pt-PT"/>
              </w:rPr>
            </w:pPr>
            <w:r w:rsidRPr="005F7F19">
              <w:rPr>
                <w:rFonts w:cs="Arial"/>
                <w:b w:val="0"/>
                <w:lang w:val="pt-PT"/>
              </w:rPr>
              <w:t>MARCA</w:t>
            </w:r>
          </w:p>
        </w:tc>
        <w:tc>
          <w:tcPr>
            <w:tcW w:w="1417" w:type="dxa"/>
            <w:shd w:val="clear" w:color="auto" w:fill="auto"/>
            <w:vAlign w:val="center"/>
          </w:tcPr>
          <w:p w:rsidR="005F7F19" w:rsidRPr="005F7F19" w:rsidRDefault="005F7F19" w:rsidP="00302D86">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114036" w:rsidP="00302D86">
            <w:pPr>
              <w:jc w:val="center"/>
              <w:rPr>
                <w:rFonts w:ascii="Arial" w:hAnsi="Arial" w:cs="Arial"/>
                <w:bCs/>
                <w:sz w:val="20"/>
                <w:szCs w:val="20"/>
                <w:lang w:val="pt-PT"/>
              </w:rPr>
            </w:pPr>
            <w:r>
              <w:rPr>
                <w:rFonts w:ascii="Arial" w:hAnsi="Arial" w:cs="Arial"/>
                <w:bCs/>
                <w:sz w:val="20"/>
                <w:szCs w:val="20"/>
                <w:lang w:val="pt-PT"/>
              </w:rPr>
              <w:t>UNIT.</w:t>
            </w:r>
          </w:p>
          <w:p w:rsidR="005F7F19" w:rsidRPr="005F7F19" w:rsidRDefault="005F7F19" w:rsidP="00302D86">
            <w:pPr>
              <w:jc w:val="center"/>
              <w:rPr>
                <w:rFonts w:ascii="Arial" w:hAnsi="Arial" w:cs="Arial"/>
                <w:bCs/>
                <w:sz w:val="20"/>
                <w:szCs w:val="20"/>
                <w:lang w:val="pt-PT"/>
              </w:rPr>
            </w:pPr>
            <w:r w:rsidRPr="005F7F19">
              <w:rPr>
                <w:rFonts w:ascii="Arial" w:hAnsi="Arial" w:cs="Arial"/>
                <w:bCs/>
                <w:sz w:val="20"/>
                <w:szCs w:val="20"/>
                <w:lang w:val="pt-PT"/>
              </w:rPr>
              <w:t>R$</w:t>
            </w:r>
          </w:p>
        </w:tc>
        <w:tc>
          <w:tcPr>
            <w:tcW w:w="1134" w:type="dxa"/>
            <w:shd w:val="clear" w:color="auto" w:fill="auto"/>
            <w:vAlign w:val="center"/>
          </w:tcPr>
          <w:p w:rsidR="005F7F19" w:rsidRPr="005F7F19" w:rsidRDefault="005F7F19" w:rsidP="00302D86">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302D86">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proofErr w:type="gramStart"/>
            <w:r w:rsidRPr="005F7F19">
              <w:rPr>
                <w:rFonts w:ascii="Arial" w:hAnsi="Arial" w:cs="Arial"/>
                <w:sz w:val="20"/>
                <w:szCs w:val="20"/>
              </w:rPr>
              <w:t>7</w:t>
            </w:r>
            <w:proofErr w:type="gramEnd"/>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Água oxigenada 10 volumes com ação </w:t>
            </w:r>
            <w:proofErr w:type="spellStart"/>
            <w:r w:rsidRPr="005F7F19">
              <w:rPr>
                <w:rFonts w:ascii="Arial" w:hAnsi="Arial" w:cs="Arial"/>
                <w:sz w:val="20"/>
                <w:szCs w:val="20"/>
              </w:rPr>
              <w:t>antisséptica</w:t>
            </w:r>
            <w:proofErr w:type="spellEnd"/>
            <w:r w:rsidRPr="005F7F19">
              <w:rPr>
                <w:rFonts w:ascii="Arial" w:hAnsi="Arial" w:cs="Arial"/>
                <w:sz w:val="20"/>
                <w:szCs w:val="20"/>
              </w:rPr>
              <w:t>. Composição: Peróxido de Hidrogênio / Água purificada. Frasco de 01 litro.</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325</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276" w:type="dxa"/>
            <w:vAlign w:val="center"/>
          </w:tcPr>
          <w:p w:rsidR="005F7F19" w:rsidRPr="005F7F19" w:rsidRDefault="00114036" w:rsidP="00302D86">
            <w:pPr>
              <w:snapToGrid w:val="0"/>
              <w:rPr>
                <w:rFonts w:ascii="Arial" w:hAnsi="Arial" w:cs="Arial"/>
                <w:sz w:val="20"/>
                <w:szCs w:val="20"/>
                <w:lang w:val="pt-PT"/>
              </w:rPr>
            </w:pPr>
            <w:r>
              <w:rPr>
                <w:rFonts w:ascii="Arial" w:hAnsi="Arial" w:cs="Arial"/>
                <w:sz w:val="20"/>
                <w:szCs w:val="20"/>
                <w:lang w:val="pt-PT"/>
              </w:rPr>
              <w:t>FARMAX-AMARAL</w:t>
            </w:r>
          </w:p>
        </w:tc>
        <w:tc>
          <w:tcPr>
            <w:tcW w:w="1417"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3,622</w:t>
            </w:r>
          </w:p>
        </w:tc>
        <w:tc>
          <w:tcPr>
            <w:tcW w:w="1134"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1.177,15</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proofErr w:type="gramStart"/>
            <w:r w:rsidRPr="005F7F19">
              <w:rPr>
                <w:rFonts w:ascii="Arial" w:hAnsi="Arial" w:cs="Arial"/>
                <w:sz w:val="20"/>
                <w:szCs w:val="20"/>
              </w:rPr>
              <w:t>9</w:t>
            </w:r>
            <w:proofErr w:type="gramEnd"/>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Agulha gengival de aço inoxidável para uso odontológico, descartável, tamanho 30G </w:t>
            </w:r>
            <w:r w:rsidRPr="005F7F19">
              <w:rPr>
                <w:rFonts w:ascii="Arial" w:hAnsi="Arial" w:cs="Arial"/>
                <w:b/>
                <w:bCs/>
                <w:sz w:val="20"/>
                <w:szCs w:val="20"/>
              </w:rPr>
              <w:t>curta</w:t>
            </w:r>
            <w:r w:rsidRPr="005F7F19">
              <w:rPr>
                <w:rFonts w:ascii="Arial" w:hAnsi="Arial" w:cs="Arial"/>
                <w:sz w:val="20"/>
                <w:szCs w:val="20"/>
              </w:rPr>
              <w:t xml:space="preserve">. Características adicionais: </w:t>
            </w:r>
            <w:proofErr w:type="spellStart"/>
            <w:r w:rsidRPr="005F7F19">
              <w:rPr>
                <w:rFonts w:ascii="Arial" w:hAnsi="Arial" w:cs="Arial"/>
                <w:sz w:val="20"/>
                <w:szCs w:val="20"/>
              </w:rPr>
              <w:t>bisel</w:t>
            </w:r>
            <w:proofErr w:type="spellEnd"/>
            <w:r w:rsidRPr="005F7F19">
              <w:rPr>
                <w:rFonts w:ascii="Arial" w:hAnsi="Arial" w:cs="Arial"/>
                <w:sz w:val="20"/>
                <w:szCs w:val="20"/>
              </w:rPr>
              <w:t xml:space="preserve"> </w:t>
            </w:r>
            <w:proofErr w:type="spellStart"/>
            <w:r w:rsidRPr="005F7F19">
              <w:rPr>
                <w:rFonts w:ascii="Arial" w:hAnsi="Arial" w:cs="Arial"/>
                <w:sz w:val="20"/>
                <w:szCs w:val="20"/>
              </w:rPr>
              <w:t>trifacetado</w:t>
            </w:r>
            <w:proofErr w:type="spellEnd"/>
            <w:r w:rsidRPr="005F7F19">
              <w:rPr>
                <w:rFonts w:ascii="Arial" w:hAnsi="Arial" w:cs="Arial"/>
                <w:sz w:val="20"/>
                <w:szCs w:val="20"/>
              </w:rPr>
              <w:t xml:space="preserve">, </w:t>
            </w:r>
            <w:proofErr w:type="spellStart"/>
            <w:r w:rsidRPr="005F7F19">
              <w:rPr>
                <w:rFonts w:ascii="Arial" w:hAnsi="Arial" w:cs="Arial"/>
                <w:sz w:val="20"/>
                <w:szCs w:val="20"/>
              </w:rPr>
              <w:t>siliconizada</w:t>
            </w:r>
            <w:proofErr w:type="spellEnd"/>
            <w:r w:rsidRPr="005F7F19">
              <w:rPr>
                <w:rFonts w:ascii="Arial" w:hAnsi="Arial" w:cs="Arial"/>
                <w:sz w:val="20"/>
                <w:szCs w:val="20"/>
              </w:rPr>
              <w:t xml:space="preserve">, estéril, adaptação perfeita para </w:t>
            </w:r>
            <w:proofErr w:type="spellStart"/>
            <w:r w:rsidRPr="005F7F19">
              <w:rPr>
                <w:rFonts w:ascii="Arial" w:hAnsi="Arial" w:cs="Arial"/>
                <w:sz w:val="20"/>
                <w:szCs w:val="20"/>
              </w:rPr>
              <w:t>carpule</w:t>
            </w:r>
            <w:proofErr w:type="spellEnd"/>
            <w:r w:rsidRPr="005F7F19">
              <w:rPr>
                <w:rFonts w:ascii="Arial" w:hAnsi="Arial" w:cs="Arial"/>
                <w:sz w:val="20"/>
                <w:szCs w:val="20"/>
              </w:rPr>
              <w:t>, diâmetro 0,33 mm, comprimento 25,4 mm. Esterilizada por óxido de etileno. Com 100 unidades.</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65</w:t>
            </w:r>
          </w:p>
        </w:tc>
        <w:tc>
          <w:tcPr>
            <w:tcW w:w="567"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114036" w:rsidP="00302D86">
            <w:pPr>
              <w:snapToGrid w:val="0"/>
              <w:rPr>
                <w:rFonts w:ascii="Arial" w:hAnsi="Arial" w:cs="Arial"/>
                <w:sz w:val="20"/>
                <w:szCs w:val="20"/>
                <w:lang w:val="pt-PT"/>
              </w:rPr>
            </w:pPr>
            <w:r>
              <w:rPr>
                <w:rFonts w:ascii="Arial" w:hAnsi="Arial" w:cs="Arial"/>
                <w:sz w:val="20"/>
                <w:szCs w:val="20"/>
                <w:lang w:val="pt-PT"/>
              </w:rPr>
              <w:t>LABOR IMPORT</w:t>
            </w:r>
          </w:p>
        </w:tc>
        <w:tc>
          <w:tcPr>
            <w:tcW w:w="1417"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24,417</w:t>
            </w:r>
          </w:p>
        </w:tc>
        <w:tc>
          <w:tcPr>
            <w:tcW w:w="1134"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1.587,11</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16</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Almotolia plástica para acondicionamento de líquidos - capacidade 125 ml. </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114036" w:rsidP="00302D86">
            <w:pPr>
              <w:snapToGrid w:val="0"/>
              <w:rPr>
                <w:rFonts w:ascii="Arial" w:hAnsi="Arial" w:cs="Arial"/>
                <w:sz w:val="20"/>
                <w:szCs w:val="20"/>
                <w:lang w:val="pt-PT"/>
              </w:rPr>
            </w:pPr>
            <w:r>
              <w:rPr>
                <w:rFonts w:ascii="Arial" w:hAnsi="Arial" w:cs="Arial"/>
                <w:sz w:val="20"/>
                <w:szCs w:val="20"/>
                <w:lang w:val="pt-PT"/>
              </w:rPr>
              <w:t>J PROLAB</w:t>
            </w:r>
          </w:p>
        </w:tc>
        <w:tc>
          <w:tcPr>
            <w:tcW w:w="1417"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1.628</w:t>
            </w:r>
          </w:p>
        </w:tc>
        <w:tc>
          <w:tcPr>
            <w:tcW w:w="1134"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81,40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lastRenderedPageBreak/>
              <w:t>25</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Aparelho radiográfico odontológico</w:t>
            </w:r>
            <w:r w:rsidRPr="005F7F19">
              <w:rPr>
                <w:rFonts w:ascii="Arial" w:hAnsi="Arial" w:cs="Arial"/>
                <w:b/>
                <w:bCs/>
                <w:sz w:val="20"/>
                <w:szCs w:val="20"/>
              </w:rPr>
              <w:t xml:space="preserve"> </w:t>
            </w:r>
            <w:r w:rsidRPr="005F7F19">
              <w:rPr>
                <w:rFonts w:ascii="Arial" w:hAnsi="Arial" w:cs="Arial"/>
                <w:sz w:val="20"/>
                <w:szCs w:val="20"/>
              </w:rPr>
              <w:t xml:space="preserve">para radiografia </w:t>
            </w:r>
            <w:proofErr w:type="spellStart"/>
            <w:r w:rsidRPr="005F7F19">
              <w:rPr>
                <w:rFonts w:ascii="Arial" w:hAnsi="Arial" w:cs="Arial"/>
                <w:sz w:val="20"/>
                <w:szCs w:val="20"/>
              </w:rPr>
              <w:t>periapical</w:t>
            </w:r>
            <w:proofErr w:type="spellEnd"/>
            <w:r w:rsidRPr="005F7F19">
              <w:rPr>
                <w:rFonts w:ascii="Arial" w:hAnsi="Arial" w:cs="Arial"/>
                <w:sz w:val="20"/>
                <w:szCs w:val="20"/>
              </w:rPr>
              <w:t xml:space="preserve"> e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com as seguintes características: tipo coluna móvel, com rodízios e braços articulados e balanceados, rodízios com travas em, pelo menos, duas rodas diagonais, painel com display digital que permita a seleção do tempo de exposição, garantindo radiografias uniformes com boa qualidade, tensão no tubo de 70 KVP, corrente no tubo entre </w:t>
            </w:r>
            <w:proofErr w:type="gramStart"/>
            <w:r w:rsidRPr="005F7F19">
              <w:rPr>
                <w:rFonts w:ascii="Arial" w:hAnsi="Arial" w:cs="Arial"/>
                <w:sz w:val="20"/>
                <w:szCs w:val="20"/>
              </w:rPr>
              <w:t>7mA</w:t>
            </w:r>
            <w:proofErr w:type="gramEnd"/>
            <w:r w:rsidRPr="005F7F19">
              <w:rPr>
                <w:rFonts w:ascii="Arial" w:hAnsi="Arial" w:cs="Arial"/>
                <w:sz w:val="20"/>
                <w:szCs w:val="20"/>
              </w:rPr>
              <w:t xml:space="preserve"> e 9mA, ampola com gerador imerso em óleo, cabeçote com câmera de expansão, dispositivo de segurança de proteção térmica interna do cabeçote, chave liga/desliga, timer digital, bip sonoro conjugado a emissão de raio X, tempo de exposição que atenda à faixa entre 0,2 a 2,5 s, disparador a distância com cabo espiralado com comprimento mínimo de 5 m, cone limitador do campo de radiação, cabeçote com blindagem em chumbo, sistema de segurança que impeça o disparo em caso de sub e </w:t>
            </w:r>
            <w:proofErr w:type="spellStart"/>
            <w:r w:rsidRPr="005F7F19">
              <w:rPr>
                <w:rFonts w:ascii="Arial" w:hAnsi="Arial" w:cs="Arial"/>
                <w:sz w:val="20"/>
                <w:szCs w:val="20"/>
              </w:rPr>
              <w:t>sobretensão</w:t>
            </w:r>
            <w:proofErr w:type="spellEnd"/>
            <w:r w:rsidRPr="005F7F19">
              <w:rPr>
                <w:rFonts w:ascii="Arial" w:hAnsi="Arial" w:cs="Arial"/>
                <w:sz w:val="20"/>
                <w:szCs w:val="20"/>
              </w:rPr>
              <w:t>, alimentação monofásica 220V - 60Hz, manual de uso em português. Garantia mínima de 12 meses a contar da data de instalação.</w:t>
            </w:r>
            <w:r w:rsidRPr="005F7F19">
              <w:rPr>
                <w:rFonts w:ascii="Arial" w:hAnsi="Arial" w:cs="Arial"/>
                <w:b/>
                <w:bCs/>
                <w:sz w:val="20"/>
                <w:szCs w:val="20"/>
              </w:rPr>
              <w:t xml:space="preserve"> </w:t>
            </w: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10</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114036" w:rsidP="00302D86">
            <w:pPr>
              <w:snapToGrid w:val="0"/>
              <w:rPr>
                <w:rFonts w:ascii="Arial" w:hAnsi="Arial" w:cs="Arial"/>
                <w:sz w:val="20"/>
                <w:szCs w:val="20"/>
                <w:lang w:val="pt-PT"/>
              </w:rPr>
            </w:pPr>
            <w:r>
              <w:rPr>
                <w:rFonts w:ascii="Arial" w:hAnsi="Arial" w:cs="Arial"/>
                <w:sz w:val="20"/>
                <w:szCs w:val="20"/>
                <w:lang w:val="pt-PT"/>
              </w:rPr>
              <w:t>PROCION</w:t>
            </w:r>
          </w:p>
        </w:tc>
        <w:tc>
          <w:tcPr>
            <w:tcW w:w="1417"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4.100,00</w:t>
            </w:r>
          </w:p>
        </w:tc>
        <w:tc>
          <w:tcPr>
            <w:tcW w:w="1134"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41.000,00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Caixa de esgoto com respiro e abafador de ruídos. Chassi em aço pintado. Revestimento externo em poliestireno. Suporte da unidade em aço pintado. Refletor mono focal, acoplado ao braço vertical fixo à cadeira, cabeçote com puxador incorporado, temperatura de cor entre 3.600 a 6.500 K. Sistema de troca fácil de lâmpadas e espelho em policarbonato transparente. Braços com linhas arredondadas e pintura lisa. Lâmpada alógena, mínimo 12 V x 55 W. Fusível de proteção 6ª. Peso líquido aproximado: 110 kg. Voltagem: 110/127/220/240 V. Garantia mínima de 12 meses para o equipamento e de 06 meses para o estofamento.</w:t>
            </w:r>
          </w:p>
          <w:p w:rsidR="005F7F19" w:rsidRPr="005F7F19" w:rsidRDefault="005F7F19" w:rsidP="00302D86">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302D86">
            <w:pPr>
              <w:jc w:val="right"/>
              <w:rPr>
                <w:rFonts w:ascii="Arial" w:hAnsi="Arial" w:cs="Arial"/>
                <w:sz w:val="20"/>
                <w:szCs w:val="20"/>
              </w:rPr>
            </w:pPr>
          </w:p>
        </w:tc>
        <w:tc>
          <w:tcPr>
            <w:tcW w:w="567" w:type="dxa"/>
            <w:vAlign w:val="center"/>
          </w:tcPr>
          <w:p w:rsidR="005F7F19" w:rsidRPr="005F7F19" w:rsidRDefault="005F7F19" w:rsidP="00302D86">
            <w:pPr>
              <w:jc w:val="center"/>
              <w:rPr>
                <w:rFonts w:ascii="Arial" w:hAnsi="Arial" w:cs="Arial"/>
                <w:sz w:val="20"/>
                <w:szCs w:val="20"/>
              </w:rPr>
            </w:pPr>
          </w:p>
        </w:tc>
        <w:tc>
          <w:tcPr>
            <w:tcW w:w="1276" w:type="dxa"/>
            <w:vAlign w:val="center"/>
          </w:tcPr>
          <w:p w:rsidR="005F7F19" w:rsidRPr="005F7F19" w:rsidRDefault="005F7F19" w:rsidP="00302D86">
            <w:pPr>
              <w:snapToGrid w:val="0"/>
              <w:rPr>
                <w:rFonts w:ascii="Arial" w:hAnsi="Arial" w:cs="Arial"/>
                <w:sz w:val="20"/>
                <w:szCs w:val="20"/>
                <w:lang w:val="pt-PT"/>
              </w:rPr>
            </w:pPr>
          </w:p>
        </w:tc>
        <w:tc>
          <w:tcPr>
            <w:tcW w:w="1417" w:type="dxa"/>
            <w:vAlign w:val="center"/>
          </w:tcPr>
          <w:p w:rsidR="005F7F19" w:rsidRPr="005F7F19" w:rsidRDefault="005F7F19" w:rsidP="00302D86">
            <w:pPr>
              <w:snapToGrid w:val="0"/>
              <w:jc w:val="right"/>
              <w:rPr>
                <w:rFonts w:ascii="Arial" w:hAnsi="Arial" w:cs="Arial"/>
                <w:sz w:val="20"/>
                <w:szCs w:val="20"/>
                <w:lang w:val="pt-PT"/>
              </w:rPr>
            </w:pPr>
          </w:p>
        </w:tc>
        <w:tc>
          <w:tcPr>
            <w:tcW w:w="1134" w:type="dxa"/>
            <w:vAlign w:val="center"/>
          </w:tcPr>
          <w:p w:rsidR="005F7F19" w:rsidRPr="005F7F19" w:rsidRDefault="005F7F19" w:rsidP="00302D86">
            <w:pPr>
              <w:snapToGrid w:val="0"/>
              <w:jc w:val="right"/>
              <w:rPr>
                <w:rFonts w:ascii="Arial" w:hAnsi="Arial" w:cs="Arial"/>
                <w:sz w:val="20"/>
                <w:szCs w:val="20"/>
                <w:lang w:val="pt-PT"/>
              </w:rPr>
            </w:pP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110</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Compressor odontológico, isento de óleo, com tanque mínimo de 25 litros, tensão de trabalho de 220 volts/60hz, produção mínima de ar de 08 pés, com nível de ruído menor ou igual a 60 (dB (A</w:t>
            </w:r>
            <w:proofErr w:type="gramStart"/>
            <w:r w:rsidRPr="005F7F19">
              <w:rPr>
                <w:rFonts w:ascii="Arial" w:hAnsi="Arial" w:cs="Arial"/>
                <w:sz w:val="20"/>
                <w:szCs w:val="20"/>
              </w:rPr>
              <w:t>)</w:t>
            </w:r>
            <w:proofErr w:type="gramEnd"/>
            <w:r w:rsidRPr="005F7F19">
              <w:rPr>
                <w:rFonts w:ascii="Arial" w:hAnsi="Arial" w:cs="Arial"/>
                <w:sz w:val="20"/>
                <w:szCs w:val="20"/>
              </w:rPr>
              <w:t>/1m). Capacidade de 1.500 W. Garantia mínima de 12 meses.</w:t>
            </w:r>
          </w:p>
          <w:p w:rsidR="005F7F19" w:rsidRPr="005F7F19" w:rsidRDefault="005F7F19" w:rsidP="00302D86">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114036" w:rsidP="00302D86">
            <w:pPr>
              <w:snapToGrid w:val="0"/>
              <w:rPr>
                <w:rFonts w:ascii="Arial" w:hAnsi="Arial" w:cs="Arial"/>
                <w:sz w:val="20"/>
                <w:szCs w:val="20"/>
                <w:lang w:val="pt-PT"/>
              </w:rPr>
            </w:pPr>
            <w:r>
              <w:rPr>
                <w:rFonts w:ascii="Arial" w:hAnsi="Arial" w:cs="Arial"/>
                <w:sz w:val="20"/>
                <w:szCs w:val="20"/>
                <w:lang w:val="pt-PT"/>
              </w:rPr>
              <w:t>COMPBRASIL</w:t>
            </w:r>
          </w:p>
        </w:tc>
        <w:tc>
          <w:tcPr>
            <w:tcW w:w="1417"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1.627,781</w:t>
            </w:r>
          </w:p>
        </w:tc>
        <w:tc>
          <w:tcPr>
            <w:tcW w:w="1134" w:type="dxa"/>
            <w:vAlign w:val="center"/>
          </w:tcPr>
          <w:p w:rsidR="005F7F19" w:rsidRPr="005F7F19" w:rsidRDefault="00114036" w:rsidP="00302D86">
            <w:pPr>
              <w:snapToGrid w:val="0"/>
              <w:jc w:val="right"/>
              <w:rPr>
                <w:rFonts w:ascii="Arial" w:hAnsi="Arial" w:cs="Arial"/>
                <w:sz w:val="20"/>
                <w:szCs w:val="20"/>
                <w:lang w:val="pt-PT"/>
              </w:rPr>
            </w:pPr>
            <w:r>
              <w:rPr>
                <w:rFonts w:ascii="Arial" w:hAnsi="Arial" w:cs="Arial"/>
                <w:sz w:val="20"/>
                <w:szCs w:val="20"/>
                <w:lang w:val="pt-PT"/>
              </w:rPr>
              <w:t>19.533,37</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117</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Cuba em inox redonda - diâmetro 09 cm </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CB79A0" w:rsidP="00302D86">
            <w:pPr>
              <w:snapToGrid w:val="0"/>
              <w:rPr>
                <w:rFonts w:ascii="Arial" w:hAnsi="Arial" w:cs="Arial"/>
                <w:sz w:val="20"/>
                <w:szCs w:val="20"/>
                <w:lang w:val="pt-PT"/>
              </w:rPr>
            </w:pPr>
            <w:r>
              <w:rPr>
                <w:rFonts w:ascii="Arial" w:hAnsi="Arial" w:cs="Arial"/>
                <w:sz w:val="20"/>
                <w:szCs w:val="20"/>
                <w:lang w:val="pt-PT"/>
              </w:rPr>
              <w:t>FAMI/LUMINOX</w:t>
            </w:r>
          </w:p>
        </w:tc>
        <w:tc>
          <w:tcPr>
            <w:tcW w:w="1417" w:type="dxa"/>
            <w:vAlign w:val="center"/>
          </w:tcPr>
          <w:p w:rsidR="005F7F19" w:rsidRPr="005F7F19" w:rsidRDefault="00CB79A0" w:rsidP="00302D86">
            <w:pPr>
              <w:snapToGrid w:val="0"/>
              <w:jc w:val="right"/>
              <w:rPr>
                <w:rFonts w:ascii="Arial" w:hAnsi="Arial" w:cs="Arial"/>
                <w:sz w:val="20"/>
                <w:szCs w:val="20"/>
                <w:lang w:val="pt-PT"/>
              </w:rPr>
            </w:pPr>
            <w:r>
              <w:rPr>
                <w:rFonts w:ascii="Arial" w:hAnsi="Arial" w:cs="Arial"/>
                <w:sz w:val="20"/>
                <w:szCs w:val="20"/>
                <w:lang w:val="pt-PT"/>
              </w:rPr>
              <w:t>9,902</w:t>
            </w:r>
          </w:p>
        </w:tc>
        <w:tc>
          <w:tcPr>
            <w:tcW w:w="1134" w:type="dxa"/>
            <w:vAlign w:val="center"/>
          </w:tcPr>
          <w:p w:rsidR="005F7F19" w:rsidRPr="005F7F19" w:rsidRDefault="00CB79A0" w:rsidP="00302D86">
            <w:pPr>
              <w:snapToGrid w:val="0"/>
              <w:jc w:val="right"/>
              <w:rPr>
                <w:rFonts w:ascii="Arial" w:hAnsi="Arial" w:cs="Arial"/>
                <w:sz w:val="20"/>
                <w:szCs w:val="20"/>
                <w:lang w:val="pt-PT"/>
              </w:rPr>
            </w:pPr>
            <w:r>
              <w:rPr>
                <w:rFonts w:ascii="Arial" w:hAnsi="Arial" w:cs="Arial"/>
                <w:sz w:val="20"/>
                <w:szCs w:val="20"/>
                <w:lang w:val="pt-PT"/>
              </w:rPr>
              <w:t>495,10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165</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Filme dental infantil para radiografia </w:t>
            </w:r>
            <w:proofErr w:type="spellStart"/>
            <w:r w:rsidRPr="005F7F19">
              <w:rPr>
                <w:rFonts w:ascii="Arial" w:hAnsi="Arial" w:cs="Arial"/>
                <w:sz w:val="20"/>
                <w:szCs w:val="20"/>
              </w:rPr>
              <w:t>periapical</w:t>
            </w:r>
            <w:proofErr w:type="spellEnd"/>
            <w:r w:rsidRPr="005F7F19">
              <w:rPr>
                <w:rFonts w:ascii="Arial" w:hAnsi="Arial" w:cs="Arial"/>
                <w:sz w:val="20"/>
                <w:szCs w:val="20"/>
              </w:rPr>
              <w:t xml:space="preserve"> e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 3,5 x 2,2 cm (C x L) - Com 100 unidades.</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04</w:t>
            </w:r>
          </w:p>
        </w:tc>
        <w:tc>
          <w:tcPr>
            <w:tcW w:w="567"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42185D" w:rsidP="00302D86">
            <w:pPr>
              <w:snapToGrid w:val="0"/>
              <w:rPr>
                <w:rFonts w:ascii="Arial" w:hAnsi="Arial" w:cs="Arial"/>
                <w:sz w:val="20"/>
                <w:szCs w:val="20"/>
                <w:lang w:val="pt-PT"/>
              </w:rPr>
            </w:pPr>
            <w:r>
              <w:rPr>
                <w:rFonts w:ascii="Arial" w:hAnsi="Arial" w:cs="Arial"/>
                <w:sz w:val="20"/>
                <w:szCs w:val="20"/>
                <w:lang w:val="pt-PT"/>
              </w:rPr>
              <w:t>PROGRAD</w:t>
            </w:r>
          </w:p>
        </w:tc>
        <w:tc>
          <w:tcPr>
            <w:tcW w:w="1417" w:type="dxa"/>
            <w:vAlign w:val="center"/>
          </w:tcPr>
          <w:p w:rsidR="005F7F19" w:rsidRPr="005F7F19" w:rsidRDefault="0042185D" w:rsidP="00302D86">
            <w:pPr>
              <w:snapToGrid w:val="0"/>
              <w:jc w:val="right"/>
              <w:rPr>
                <w:rFonts w:ascii="Arial" w:hAnsi="Arial" w:cs="Arial"/>
                <w:sz w:val="20"/>
                <w:szCs w:val="20"/>
                <w:lang w:val="pt-PT"/>
              </w:rPr>
            </w:pPr>
            <w:r>
              <w:rPr>
                <w:rFonts w:ascii="Arial" w:hAnsi="Arial" w:cs="Arial"/>
                <w:sz w:val="20"/>
                <w:szCs w:val="20"/>
                <w:lang w:val="pt-PT"/>
              </w:rPr>
              <w:t>119,371</w:t>
            </w:r>
          </w:p>
        </w:tc>
        <w:tc>
          <w:tcPr>
            <w:tcW w:w="1134" w:type="dxa"/>
            <w:vAlign w:val="center"/>
          </w:tcPr>
          <w:p w:rsidR="005F7F19" w:rsidRPr="005F7F19" w:rsidRDefault="0042185D" w:rsidP="00302D86">
            <w:pPr>
              <w:snapToGrid w:val="0"/>
              <w:jc w:val="right"/>
              <w:rPr>
                <w:rFonts w:ascii="Arial" w:hAnsi="Arial" w:cs="Arial"/>
                <w:sz w:val="20"/>
                <w:szCs w:val="20"/>
                <w:lang w:val="pt-PT"/>
              </w:rPr>
            </w:pPr>
            <w:r>
              <w:rPr>
                <w:rFonts w:ascii="Arial" w:hAnsi="Arial" w:cs="Arial"/>
                <w:sz w:val="20"/>
                <w:szCs w:val="20"/>
                <w:lang w:val="pt-PT"/>
              </w:rPr>
              <w:t>477,48</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202</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Lâmina descartável de bisturi - em aço carbono, formato anatômico - nº 12 – esterilizada – descartável - embalada individualmente - com 100 unidades.</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2B29DA" w:rsidP="00302D86">
            <w:pPr>
              <w:snapToGrid w:val="0"/>
              <w:rPr>
                <w:rFonts w:ascii="Arial" w:hAnsi="Arial" w:cs="Arial"/>
                <w:sz w:val="20"/>
                <w:szCs w:val="20"/>
                <w:lang w:val="pt-PT"/>
              </w:rPr>
            </w:pPr>
            <w:r>
              <w:rPr>
                <w:rFonts w:ascii="Arial" w:hAnsi="Arial" w:cs="Arial"/>
                <w:sz w:val="20"/>
                <w:szCs w:val="20"/>
                <w:lang w:val="pt-PT"/>
              </w:rPr>
              <w:t>MAXICOR</w:t>
            </w:r>
          </w:p>
        </w:tc>
        <w:tc>
          <w:tcPr>
            <w:tcW w:w="1417" w:type="dxa"/>
            <w:vAlign w:val="center"/>
          </w:tcPr>
          <w:p w:rsidR="005F7F19" w:rsidRPr="005F7F19" w:rsidRDefault="002B29DA" w:rsidP="00302D86">
            <w:pPr>
              <w:snapToGrid w:val="0"/>
              <w:jc w:val="right"/>
              <w:rPr>
                <w:rFonts w:ascii="Arial" w:hAnsi="Arial" w:cs="Arial"/>
                <w:sz w:val="20"/>
                <w:szCs w:val="20"/>
                <w:lang w:val="pt-PT"/>
              </w:rPr>
            </w:pPr>
            <w:r>
              <w:rPr>
                <w:rFonts w:ascii="Arial" w:hAnsi="Arial" w:cs="Arial"/>
                <w:sz w:val="20"/>
                <w:szCs w:val="20"/>
                <w:lang w:val="pt-PT"/>
              </w:rPr>
              <w:t>21,161</w:t>
            </w:r>
          </w:p>
        </w:tc>
        <w:tc>
          <w:tcPr>
            <w:tcW w:w="1134" w:type="dxa"/>
            <w:vAlign w:val="center"/>
          </w:tcPr>
          <w:p w:rsidR="005F7F19" w:rsidRPr="005F7F19" w:rsidRDefault="002B29DA" w:rsidP="00302D86">
            <w:pPr>
              <w:snapToGrid w:val="0"/>
              <w:jc w:val="right"/>
              <w:rPr>
                <w:rFonts w:ascii="Arial" w:hAnsi="Arial" w:cs="Arial"/>
                <w:sz w:val="20"/>
                <w:szCs w:val="20"/>
                <w:lang w:val="pt-PT"/>
              </w:rPr>
            </w:pPr>
            <w:r>
              <w:rPr>
                <w:rFonts w:ascii="Arial" w:hAnsi="Arial" w:cs="Arial"/>
                <w:sz w:val="20"/>
                <w:szCs w:val="20"/>
                <w:lang w:val="pt-PT"/>
              </w:rPr>
              <w:t>253,93</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lastRenderedPageBreak/>
              <w:t>227</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Mini-incubadora. Desenvolvida para incubação de indicadores biológicos </w:t>
            </w:r>
            <w:proofErr w:type="gramStart"/>
            <w:r w:rsidRPr="005F7F19">
              <w:rPr>
                <w:rFonts w:ascii="Arial" w:hAnsi="Arial" w:cs="Arial"/>
                <w:sz w:val="20"/>
                <w:szCs w:val="20"/>
              </w:rPr>
              <w:t>auto-contidos</w:t>
            </w:r>
            <w:proofErr w:type="gramEnd"/>
            <w:r w:rsidRPr="005F7F19">
              <w:rPr>
                <w:rFonts w:ascii="Arial" w:hAnsi="Arial" w:cs="Arial"/>
                <w:sz w:val="20"/>
                <w:szCs w:val="20"/>
              </w:rPr>
              <w:t xml:space="preserve"> destinados à </w:t>
            </w:r>
            <w:proofErr w:type="spellStart"/>
            <w:r w:rsidRPr="005F7F19">
              <w:rPr>
                <w:rFonts w:ascii="Arial" w:hAnsi="Arial" w:cs="Arial"/>
                <w:sz w:val="20"/>
                <w:szCs w:val="20"/>
              </w:rPr>
              <w:t>monitorização</w:t>
            </w:r>
            <w:proofErr w:type="spellEnd"/>
            <w:r w:rsidRPr="005F7F19">
              <w:rPr>
                <w:rFonts w:ascii="Arial" w:hAnsi="Arial" w:cs="Arial"/>
                <w:sz w:val="20"/>
                <w:szCs w:val="20"/>
              </w:rPr>
              <w:t xml:space="preserve"> dos ciclos de esterilização em autoclave a vapor. Resultados podem ser obtidos de 12 a 48 horas. Com indicador luminoso para </w:t>
            </w:r>
            <w:proofErr w:type="spellStart"/>
            <w:r w:rsidRPr="005F7F19">
              <w:rPr>
                <w:rFonts w:ascii="Arial" w:hAnsi="Arial" w:cs="Arial"/>
                <w:sz w:val="20"/>
                <w:szCs w:val="20"/>
              </w:rPr>
              <w:t>monitorização</w:t>
            </w:r>
            <w:proofErr w:type="spellEnd"/>
            <w:r w:rsidRPr="005F7F19">
              <w:rPr>
                <w:rFonts w:ascii="Arial" w:hAnsi="Arial" w:cs="Arial"/>
                <w:sz w:val="20"/>
                <w:szCs w:val="20"/>
              </w:rPr>
              <w:t xml:space="preserve"> visual do equipamento quando estiver em funcionamento e capacidade para incubar, pelo menos, 04 indicadores biológicos. Tensão de alimentação: bi volt automático.</w:t>
            </w:r>
          </w:p>
          <w:p w:rsidR="005F7F19" w:rsidRPr="005F7F19" w:rsidRDefault="005F7F19" w:rsidP="00302D86">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857BBA" w:rsidP="00302D86">
            <w:pPr>
              <w:snapToGrid w:val="0"/>
              <w:rPr>
                <w:rFonts w:ascii="Arial" w:hAnsi="Arial" w:cs="Arial"/>
                <w:sz w:val="20"/>
                <w:szCs w:val="20"/>
                <w:lang w:val="pt-PT"/>
              </w:rPr>
            </w:pPr>
            <w:r>
              <w:rPr>
                <w:rFonts w:ascii="Arial" w:hAnsi="Arial" w:cs="Arial"/>
                <w:sz w:val="20"/>
                <w:szCs w:val="20"/>
                <w:lang w:val="pt-PT"/>
              </w:rPr>
              <w:t>BIOMECK</w:t>
            </w:r>
          </w:p>
        </w:tc>
        <w:tc>
          <w:tcPr>
            <w:tcW w:w="1417" w:type="dxa"/>
            <w:vAlign w:val="center"/>
          </w:tcPr>
          <w:p w:rsidR="005F7F19" w:rsidRPr="005F7F19" w:rsidRDefault="00857BBA" w:rsidP="00302D86">
            <w:pPr>
              <w:snapToGrid w:val="0"/>
              <w:jc w:val="right"/>
              <w:rPr>
                <w:rFonts w:ascii="Arial" w:hAnsi="Arial" w:cs="Arial"/>
                <w:sz w:val="20"/>
                <w:szCs w:val="20"/>
                <w:lang w:val="pt-PT"/>
              </w:rPr>
            </w:pPr>
            <w:r>
              <w:rPr>
                <w:rFonts w:ascii="Arial" w:hAnsi="Arial" w:cs="Arial"/>
                <w:sz w:val="20"/>
                <w:szCs w:val="20"/>
                <w:lang w:val="pt-PT"/>
              </w:rPr>
              <w:t>108,519</w:t>
            </w:r>
          </w:p>
        </w:tc>
        <w:tc>
          <w:tcPr>
            <w:tcW w:w="1134" w:type="dxa"/>
            <w:vAlign w:val="center"/>
          </w:tcPr>
          <w:p w:rsidR="005F7F19" w:rsidRPr="005F7F19" w:rsidRDefault="00857BBA" w:rsidP="00302D86">
            <w:pPr>
              <w:snapToGrid w:val="0"/>
              <w:jc w:val="right"/>
              <w:rPr>
                <w:rFonts w:ascii="Arial" w:hAnsi="Arial" w:cs="Arial"/>
                <w:sz w:val="20"/>
                <w:szCs w:val="20"/>
                <w:lang w:val="pt-PT"/>
              </w:rPr>
            </w:pPr>
            <w:r>
              <w:rPr>
                <w:rFonts w:ascii="Arial" w:hAnsi="Arial" w:cs="Arial"/>
                <w:sz w:val="20"/>
                <w:szCs w:val="20"/>
                <w:lang w:val="pt-PT"/>
              </w:rPr>
              <w:t>2.604,46</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251</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Porta gaze/algodão em inox com tampa – medidas: 9,5 cm de altura x </w:t>
            </w:r>
            <w:proofErr w:type="gramStart"/>
            <w:r w:rsidRPr="005F7F19">
              <w:rPr>
                <w:rFonts w:ascii="Arial" w:hAnsi="Arial" w:cs="Arial"/>
                <w:sz w:val="20"/>
                <w:szCs w:val="20"/>
              </w:rPr>
              <w:t>8</w:t>
            </w:r>
            <w:proofErr w:type="gramEnd"/>
            <w:r w:rsidRPr="005F7F19">
              <w:rPr>
                <w:rFonts w:ascii="Arial" w:hAnsi="Arial" w:cs="Arial"/>
                <w:sz w:val="20"/>
                <w:szCs w:val="20"/>
              </w:rPr>
              <w:t xml:space="preserve"> cm de diâmetro</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6969A7" w:rsidP="00302D86">
            <w:pPr>
              <w:snapToGrid w:val="0"/>
              <w:rPr>
                <w:rFonts w:ascii="Arial" w:hAnsi="Arial" w:cs="Arial"/>
                <w:sz w:val="20"/>
                <w:szCs w:val="20"/>
                <w:lang w:val="pt-PT"/>
              </w:rPr>
            </w:pPr>
            <w:r>
              <w:rPr>
                <w:rFonts w:ascii="Arial" w:hAnsi="Arial" w:cs="Arial"/>
                <w:sz w:val="20"/>
                <w:szCs w:val="20"/>
                <w:lang w:val="pt-PT"/>
              </w:rPr>
              <w:t>FAMI/ LUMINOX</w:t>
            </w:r>
          </w:p>
        </w:tc>
        <w:tc>
          <w:tcPr>
            <w:tcW w:w="1417" w:type="dxa"/>
            <w:vAlign w:val="center"/>
          </w:tcPr>
          <w:p w:rsidR="005F7F19" w:rsidRPr="005F7F19" w:rsidRDefault="006969A7" w:rsidP="00302D86">
            <w:pPr>
              <w:snapToGrid w:val="0"/>
              <w:jc w:val="right"/>
              <w:rPr>
                <w:rFonts w:ascii="Arial" w:hAnsi="Arial" w:cs="Arial"/>
                <w:sz w:val="20"/>
                <w:szCs w:val="20"/>
                <w:lang w:val="pt-PT"/>
              </w:rPr>
            </w:pPr>
            <w:r>
              <w:rPr>
                <w:rFonts w:ascii="Arial" w:hAnsi="Arial" w:cs="Arial"/>
                <w:sz w:val="20"/>
                <w:szCs w:val="20"/>
                <w:lang w:val="pt-PT"/>
              </w:rPr>
              <w:t>48,50</w:t>
            </w:r>
          </w:p>
        </w:tc>
        <w:tc>
          <w:tcPr>
            <w:tcW w:w="1134" w:type="dxa"/>
            <w:vAlign w:val="center"/>
          </w:tcPr>
          <w:p w:rsidR="005F7F19" w:rsidRPr="005F7F19" w:rsidRDefault="006969A7" w:rsidP="00302D86">
            <w:pPr>
              <w:snapToGrid w:val="0"/>
              <w:jc w:val="right"/>
              <w:rPr>
                <w:rFonts w:ascii="Arial" w:hAnsi="Arial" w:cs="Arial"/>
                <w:sz w:val="20"/>
                <w:szCs w:val="20"/>
                <w:lang w:val="pt-PT"/>
              </w:rPr>
            </w:pPr>
            <w:r>
              <w:rPr>
                <w:rFonts w:ascii="Arial" w:hAnsi="Arial" w:cs="Arial"/>
                <w:sz w:val="20"/>
                <w:szCs w:val="20"/>
                <w:lang w:val="pt-PT"/>
              </w:rPr>
              <w:t>3.880,00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252</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Porta gaze/algodão em inox com tampa – medidas: 10 cm de altura x 9,5 cm de diâmetro</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56</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6969A7" w:rsidP="00302D86">
            <w:pPr>
              <w:snapToGrid w:val="0"/>
              <w:rPr>
                <w:rFonts w:ascii="Arial" w:hAnsi="Arial" w:cs="Arial"/>
                <w:sz w:val="20"/>
                <w:szCs w:val="20"/>
                <w:lang w:val="pt-PT"/>
              </w:rPr>
            </w:pPr>
            <w:r>
              <w:rPr>
                <w:rFonts w:ascii="Arial" w:hAnsi="Arial" w:cs="Arial"/>
                <w:sz w:val="20"/>
                <w:szCs w:val="20"/>
                <w:lang w:val="pt-PT"/>
              </w:rPr>
              <w:t>FAMI/ LUMINOX</w:t>
            </w:r>
          </w:p>
        </w:tc>
        <w:tc>
          <w:tcPr>
            <w:tcW w:w="1417" w:type="dxa"/>
            <w:vAlign w:val="center"/>
          </w:tcPr>
          <w:p w:rsidR="005F7F19" w:rsidRPr="005F7F19" w:rsidRDefault="006969A7" w:rsidP="00302D86">
            <w:pPr>
              <w:snapToGrid w:val="0"/>
              <w:jc w:val="right"/>
              <w:rPr>
                <w:rFonts w:ascii="Arial" w:hAnsi="Arial" w:cs="Arial"/>
                <w:sz w:val="20"/>
                <w:szCs w:val="20"/>
                <w:lang w:val="pt-PT"/>
              </w:rPr>
            </w:pPr>
            <w:r>
              <w:rPr>
                <w:rFonts w:ascii="Arial" w:hAnsi="Arial" w:cs="Arial"/>
                <w:sz w:val="20"/>
                <w:szCs w:val="20"/>
                <w:lang w:val="pt-PT"/>
              </w:rPr>
              <w:t>50,19</w:t>
            </w:r>
          </w:p>
        </w:tc>
        <w:tc>
          <w:tcPr>
            <w:tcW w:w="1134" w:type="dxa"/>
            <w:vAlign w:val="center"/>
          </w:tcPr>
          <w:p w:rsidR="005F7F19" w:rsidRPr="005F7F19" w:rsidRDefault="006969A7" w:rsidP="00302D86">
            <w:pPr>
              <w:snapToGrid w:val="0"/>
              <w:jc w:val="right"/>
              <w:rPr>
                <w:rFonts w:ascii="Arial" w:hAnsi="Arial" w:cs="Arial"/>
                <w:sz w:val="20"/>
                <w:szCs w:val="20"/>
                <w:lang w:val="pt-PT"/>
              </w:rPr>
            </w:pPr>
            <w:r>
              <w:rPr>
                <w:rFonts w:ascii="Arial" w:hAnsi="Arial" w:cs="Arial"/>
                <w:sz w:val="20"/>
                <w:szCs w:val="20"/>
                <w:lang w:val="pt-PT"/>
              </w:rPr>
              <w:t>2.810,64</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276</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Seladora específica para </w:t>
            </w:r>
            <w:proofErr w:type="gramStart"/>
            <w:r w:rsidRPr="005F7F19">
              <w:rPr>
                <w:rFonts w:ascii="Arial" w:hAnsi="Arial" w:cs="Arial"/>
                <w:sz w:val="20"/>
                <w:szCs w:val="20"/>
              </w:rPr>
              <w:t>embalagem de papel grau cirúrgico</w:t>
            </w:r>
            <w:proofErr w:type="gramEnd"/>
            <w:r w:rsidRPr="005F7F19">
              <w:rPr>
                <w:rFonts w:ascii="Arial" w:hAnsi="Arial" w:cs="Arial"/>
                <w:sz w:val="20"/>
                <w:szCs w:val="20"/>
              </w:rPr>
              <w:t xml:space="preserve"> e filme BOPP. Com 25 cm de área de selagem e 13 mm de espessura da solda. Sistema de selagem tipo barra aquecida. Espessura de selagem de 13 mm. Cor branca. Garantia de 12 meses. 220 V.</w:t>
            </w:r>
          </w:p>
          <w:p w:rsidR="005F7F19" w:rsidRPr="005F7F19" w:rsidRDefault="005F7F19" w:rsidP="00302D86">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25</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4F70C3" w:rsidP="00302D86">
            <w:pPr>
              <w:snapToGrid w:val="0"/>
              <w:rPr>
                <w:rFonts w:ascii="Arial" w:hAnsi="Arial" w:cs="Arial"/>
                <w:sz w:val="20"/>
                <w:szCs w:val="20"/>
                <w:lang w:val="pt-PT"/>
              </w:rPr>
            </w:pPr>
            <w:r>
              <w:rPr>
                <w:rFonts w:ascii="Arial" w:hAnsi="Arial" w:cs="Arial"/>
                <w:sz w:val="20"/>
                <w:szCs w:val="20"/>
                <w:lang w:val="pt-PT"/>
              </w:rPr>
              <w:t>AGIR</w:t>
            </w:r>
          </w:p>
        </w:tc>
        <w:tc>
          <w:tcPr>
            <w:tcW w:w="1417"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196,69</w:t>
            </w:r>
          </w:p>
        </w:tc>
        <w:tc>
          <w:tcPr>
            <w:tcW w:w="1134"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4.917,25</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279</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Seringa plástica descartável com agulha 25 x </w:t>
            </w:r>
            <w:proofErr w:type="gramStart"/>
            <w:r w:rsidRPr="005F7F19">
              <w:rPr>
                <w:rFonts w:ascii="Arial" w:hAnsi="Arial" w:cs="Arial"/>
                <w:sz w:val="20"/>
                <w:szCs w:val="20"/>
              </w:rPr>
              <w:t>7</w:t>
            </w:r>
            <w:proofErr w:type="gramEnd"/>
            <w:r w:rsidRPr="005F7F19">
              <w:rPr>
                <w:rFonts w:ascii="Arial" w:hAnsi="Arial" w:cs="Arial"/>
                <w:sz w:val="20"/>
                <w:szCs w:val="20"/>
              </w:rPr>
              <w:t xml:space="preserve"> – 05 ml – com 100 unidades</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4F70C3" w:rsidP="00302D86">
            <w:pPr>
              <w:snapToGrid w:val="0"/>
              <w:rPr>
                <w:rFonts w:ascii="Arial" w:hAnsi="Arial" w:cs="Arial"/>
                <w:sz w:val="20"/>
                <w:szCs w:val="20"/>
                <w:lang w:val="pt-PT"/>
              </w:rPr>
            </w:pPr>
            <w:r>
              <w:rPr>
                <w:rFonts w:ascii="Arial" w:hAnsi="Arial" w:cs="Arial"/>
                <w:sz w:val="20"/>
                <w:szCs w:val="20"/>
                <w:lang w:val="pt-PT"/>
              </w:rPr>
              <w:t>SR</w:t>
            </w:r>
          </w:p>
        </w:tc>
        <w:tc>
          <w:tcPr>
            <w:tcW w:w="1417"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17,80</w:t>
            </w:r>
          </w:p>
        </w:tc>
        <w:tc>
          <w:tcPr>
            <w:tcW w:w="1134"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267,00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280</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Seringa plástica descartável com agulha 25 x </w:t>
            </w:r>
            <w:proofErr w:type="gramStart"/>
            <w:r w:rsidRPr="005F7F19">
              <w:rPr>
                <w:rFonts w:ascii="Arial" w:hAnsi="Arial" w:cs="Arial"/>
                <w:sz w:val="20"/>
                <w:szCs w:val="20"/>
              </w:rPr>
              <w:t>7</w:t>
            </w:r>
            <w:proofErr w:type="gramEnd"/>
            <w:r w:rsidRPr="005F7F19">
              <w:rPr>
                <w:rFonts w:ascii="Arial" w:hAnsi="Arial" w:cs="Arial"/>
                <w:sz w:val="20"/>
                <w:szCs w:val="20"/>
              </w:rPr>
              <w:t xml:space="preserve"> – 10 ml – com 100 unidades</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4F70C3" w:rsidP="00302D86">
            <w:pPr>
              <w:snapToGrid w:val="0"/>
              <w:rPr>
                <w:rFonts w:ascii="Arial" w:hAnsi="Arial" w:cs="Arial"/>
                <w:sz w:val="20"/>
                <w:szCs w:val="20"/>
                <w:lang w:val="pt-PT"/>
              </w:rPr>
            </w:pPr>
            <w:r>
              <w:rPr>
                <w:rFonts w:ascii="Arial" w:hAnsi="Arial" w:cs="Arial"/>
                <w:sz w:val="20"/>
                <w:szCs w:val="20"/>
                <w:lang w:val="pt-PT"/>
              </w:rPr>
              <w:t>SR</w:t>
            </w:r>
          </w:p>
        </w:tc>
        <w:tc>
          <w:tcPr>
            <w:tcW w:w="1417"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27,10</w:t>
            </w:r>
          </w:p>
        </w:tc>
        <w:tc>
          <w:tcPr>
            <w:tcW w:w="1134" w:type="dxa"/>
            <w:vAlign w:val="center"/>
          </w:tcPr>
          <w:p w:rsidR="005F7F19" w:rsidRPr="005F7F19" w:rsidRDefault="004F70C3" w:rsidP="00302D86">
            <w:pPr>
              <w:snapToGrid w:val="0"/>
              <w:jc w:val="right"/>
              <w:rPr>
                <w:rFonts w:ascii="Arial" w:hAnsi="Arial" w:cs="Arial"/>
                <w:sz w:val="20"/>
                <w:szCs w:val="20"/>
                <w:lang w:val="pt-PT"/>
              </w:rPr>
            </w:pPr>
            <w:r>
              <w:rPr>
                <w:rFonts w:ascii="Arial" w:hAnsi="Arial" w:cs="Arial"/>
                <w:sz w:val="20"/>
                <w:szCs w:val="20"/>
                <w:lang w:val="pt-PT"/>
              </w:rPr>
              <w:t>406,50</w:t>
            </w:r>
          </w:p>
        </w:tc>
      </w:tr>
      <w:tr w:rsidR="005F7F19" w:rsidRPr="005F7F19" w:rsidTr="00114036">
        <w:tc>
          <w:tcPr>
            <w:tcW w:w="672" w:type="dxa"/>
            <w:vAlign w:val="center"/>
          </w:tcPr>
          <w:p w:rsidR="005F7F19" w:rsidRPr="005F7F19" w:rsidRDefault="005F7F19" w:rsidP="00302D86">
            <w:pPr>
              <w:jc w:val="center"/>
              <w:rPr>
                <w:rFonts w:ascii="Arial" w:hAnsi="Arial" w:cs="Arial"/>
                <w:sz w:val="20"/>
                <w:szCs w:val="20"/>
              </w:rPr>
            </w:pPr>
            <w:r w:rsidRPr="005F7F19">
              <w:rPr>
                <w:rFonts w:ascii="Arial" w:hAnsi="Arial" w:cs="Arial"/>
                <w:sz w:val="20"/>
                <w:szCs w:val="20"/>
              </w:rPr>
              <w:t>284</w:t>
            </w:r>
          </w:p>
        </w:tc>
        <w:tc>
          <w:tcPr>
            <w:tcW w:w="4395" w:type="dxa"/>
            <w:vAlign w:val="center"/>
          </w:tcPr>
          <w:p w:rsidR="005F7F19" w:rsidRPr="005F7F19" w:rsidRDefault="005F7F19" w:rsidP="00302D86">
            <w:pPr>
              <w:rPr>
                <w:rFonts w:ascii="Arial" w:hAnsi="Arial" w:cs="Arial"/>
                <w:sz w:val="20"/>
                <w:szCs w:val="20"/>
              </w:rPr>
            </w:pPr>
            <w:r w:rsidRPr="005F7F19">
              <w:rPr>
                <w:rFonts w:ascii="Arial" w:hAnsi="Arial" w:cs="Arial"/>
                <w:sz w:val="20"/>
                <w:szCs w:val="20"/>
              </w:rPr>
              <w:t xml:space="preserve">Solução constituída de ácido </w:t>
            </w:r>
            <w:proofErr w:type="spellStart"/>
            <w:r w:rsidRPr="005F7F19">
              <w:rPr>
                <w:rFonts w:ascii="Arial" w:hAnsi="Arial" w:cs="Arial"/>
                <w:sz w:val="20"/>
                <w:szCs w:val="20"/>
              </w:rPr>
              <w:t>peracético</w:t>
            </w:r>
            <w:proofErr w:type="spellEnd"/>
            <w:r w:rsidRPr="005F7F19">
              <w:rPr>
                <w:rFonts w:ascii="Arial" w:hAnsi="Arial" w:cs="Arial"/>
                <w:sz w:val="20"/>
                <w:szCs w:val="20"/>
              </w:rPr>
              <w:t>, peróxido de hidrogênio e veículo estabilizante.  Pronto para uso – não requer diluição nem ativação. Compatível com aço inoxidável</w:t>
            </w:r>
            <w:proofErr w:type="gramStart"/>
            <w:r w:rsidRPr="005F7F19">
              <w:rPr>
                <w:rFonts w:ascii="Arial" w:hAnsi="Arial" w:cs="Arial"/>
                <w:sz w:val="20"/>
                <w:szCs w:val="20"/>
              </w:rPr>
              <w:t>, ligas</w:t>
            </w:r>
            <w:proofErr w:type="gramEnd"/>
            <w:r w:rsidRPr="005F7F19">
              <w:rPr>
                <w:rFonts w:ascii="Arial" w:hAnsi="Arial" w:cs="Arial"/>
                <w:sz w:val="20"/>
                <w:szCs w:val="20"/>
              </w:rPr>
              <w:t xml:space="preserve"> de alumínio, tecido, plásticos, borrachas, porcelanas etc. Frasco de 01 litro.</w:t>
            </w:r>
          </w:p>
        </w:tc>
        <w:tc>
          <w:tcPr>
            <w:tcW w:w="850" w:type="dxa"/>
            <w:vAlign w:val="center"/>
          </w:tcPr>
          <w:p w:rsidR="005F7F19" w:rsidRPr="005F7F19" w:rsidRDefault="005F7F19" w:rsidP="00302D86">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302D86">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276" w:type="dxa"/>
            <w:vAlign w:val="center"/>
          </w:tcPr>
          <w:p w:rsidR="005F7F19" w:rsidRPr="005F7F19" w:rsidRDefault="00667125" w:rsidP="00302D86">
            <w:pPr>
              <w:snapToGrid w:val="0"/>
              <w:rPr>
                <w:rFonts w:ascii="Arial" w:hAnsi="Arial" w:cs="Arial"/>
                <w:sz w:val="20"/>
                <w:szCs w:val="20"/>
                <w:lang w:val="pt-PT"/>
              </w:rPr>
            </w:pPr>
            <w:r>
              <w:rPr>
                <w:rFonts w:ascii="Arial" w:hAnsi="Arial" w:cs="Arial"/>
                <w:sz w:val="20"/>
                <w:szCs w:val="20"/>
                <w:lang w:val="pt-PT"/>
              </w:rPr>
              <w:t>RIOQUIMI CA</w:t>
            </w:r>
          </w:p>
        </w:tc>
        <w:tc>
          <w:tcPr>
            <w:tcW w:w="1417" w:type="dxa"/>
            <w:vAlign w:val="center"/>
          </w:tcPr>
          <w:p w:rsidR="005F7F19" w:rsidRPr="005F7F19" w:rsidRDefault="00667125" w:rsidP="00302D86">
            <w:pPr>
              <w:snapToGrid w:val="0"/>
              <w:jc w:val="right"/>
              <w:rPr>
                <w:rFonts w:ascii="Arial" w:hAnsi="Arial" w:cs="Arial"/>
                <w:sz w:val="20"/>
                <w:szCs w:val="20"/>
                <w:lang w:val="pt-PT"/>
              </w:rPr>
            </w:pPr>
            <w:r>
              <w:rPr>
                <w:rFonts w:ascii="Arial" w:hAnsi="Arial" w:cs="Arial"/>
                <w:sz w:val="20"/>
                <w:szCs w:val="20"/>
                <w:lang w:val="pt-PT"/>
              </w:rPr>
              <w:t>47,90</w:t>
            </w:r>
          </w:p>
        </w:tc>
        <w:tc>
          <w:tcPr>
            <w:tcW w:w="1134" w:type="dxa"/>
            <w:vAlign w:val="center"/>
          </w:tcPr>
          <w:p w:rsidR="005F7F19" w:rsidRPr="005F7F19" w:rsidRDefault="00667125" w:rsidP="00302D86">
            <w:pPr>
              <w:snapToGrid w:val="0"/>
              <w:jc w:val="right"/>
              <w:rPr>
                <w:rFonts w:ascii="Arial" w:hAnsi="Arial" w:cs="Arial"/>
                <w:sz w:val="20"/>
                <w:szCs w:val="20"/>
                <w:lang w:val="pt-PT"/>
              </w:rPr>
            </w:pPr>
            <w:r>
              <w:rPr>
                <w:rFonts w:ascii="Arial" w:hAnsi="Arial" w:cs="Arial"/>
                <w:sz w:val="20"/>
                <w:szCs w:val="20"/>
                <w:lang w:val="pt-PT"/>
              </w:rPr>
              <w:t>3.832,00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344680">
        <w:rPr>
          <w:rFonts w:ascii="Arial" w:hAnsi="Arial" w:cs="Arial"/>
          <w:sz w:val="20"/>
          <w:szCs w:val="20"/>
        </w:rPr>
        <w:t>, na conta corrente nº 06341-1, do Banco ITAU, agência nº 8483</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w:t>
      </w:r>
      <w:r w:rsidRPr="005F7F19">
        <w:rPr>
          <w:rFonts w:ascii="Arial" w:hAnsi="Arial" w:cs="Arial"/>
          <w:sz w:val="20"/>
          <w:szCs w:val="20"/>
        </w:rPr>
        <w:lastRenderedPageBreak/>
        <w:t>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 xml:space="preserve">para a efetiva </w:t>
      </w:r>
      <w:r w:rsidRPr="005F7F19">
        <w:rPr>
          <w:rFonts w:ascii="Arial" w:hAnsi="Arial" w:cs="Arial"/>
          <w:bCs/>
          <w:sz w:val="20"/>
          <w:szCs w:val="20"/>
        </w:rPr>
        <w:lastRenderedPageBreak/>
        <w:t>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DA5105" w:rsidRDefault="005F7F19" w:rsidP="00DA5105">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DA5105" w:rsidRDefault="005F7F19" w:rsidP="00DA5105">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DA5105" w:rsidRDefault="005F7F19" w:rsidP="00DA5105">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DA5105">
      <w:pPr>
        <w:jc w:val="both"/>
        <w:rPr>
          <w:rFonts w:ascii="Arial" w:hAnsi="Arial" w:cs="Arial"/>
          <w:sz w:val="20"/>
          <w:szCs w:val="20"/>
        </w:rPr>
      </w:pPr>
    </w:p>
    <w:p w:rsidR="005F7F19" w:rsidRPr="00DA5105" w:rsidRDefault="005F7F19" w:rsidP="00DA5105">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9"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10"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DA5105" w:rsidRDefault="005F7F19" w:rsidP="00DA5105">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DA5105" w:rsidRDefault="005F7F19" w:rsidP="00DA5105">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DA5105" w:rsidRDefault="005F7F19" w:rsidP="00DA5105">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DA5105" w:rsidRDefault="005F7F19" w:rsidP="00DA5105">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DA5105" w:rsidRDefault="005F7F19" w:rsidP="00DA5105">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DA5105">
      <w:pPr>
        <w:tabs>
          <w:tab w:val="left" w:pos="1134"/>
        </w:tabs>
        <w:rPr>
          <w:rFonts w:ascii="Arial" w:hAnsi="Arial" w:cs="Arial"/>
          <w:sz w:val="20"/>
          <w:szCs w:val="20"/>
        </w:rPr>
      </w:pPr>
    </w:p>
    <w:p w:rsidR="005F7F19" w:rsidRDefault="00DA5105" w:rsidP="005F7F19">
      <w:pPr>
        <w:tabs>
          <w:tab w:val="left" w:pos="1134"/>
        </w:tabs>
        <w:jc w:val="center"/>
        <w:rPr>
          <w:rFonts w:ascii="Arial" w:hAnsi="Arial" w:cs="Arial"/>
          <w:sz w:val="20"/>
          <w:szCs w:val="20"/>
        </w:rPr>
      </w:pPr>
      <w:r>
        <w:rPr>
          <w:rFonts w:ascii="Arial" w:hAnsi="Arial" w:cs="Arial"/>
          <w:sz w:val="20"/>
          <w:szCs w:val="20"/>
        </w:rPr>
        <w:t>ALTERMED MATERIAL MEDICO HOSPITALAR LTDA</w:t>
      </w:r>
    </w:p>
    <w:p w:rsidR="00DA5105" w:rsidRPr="005F7F19" w:rsidRDefault="00DA5105" w:rsidP="005F7F19">
      <w:pPr>
        <w:tabs>
          <w:tab w:val="left" w:pos="1134"/>
        </w:tabs>
        <w:jc w:val="center"/>
        <w:rPr>
          <w:rFonts w:ascii="Arial" w:hAnsi="Arial" w:cs="Arial"/>
          <w:sz w:val="20"/>
          <w:szCs w:val="20"/>
        </w:rPr>
      </w:pPr>
      <w:r>
        <w:rPr>
          <w:rFonts w:ascii="Arial" w:hAnsi="Arial" w:cs="Arial"/>
          <w:sz w:val="20"/>
          <w:szCs w:val="20"/>
        </w:rPr>
        <w:t>ANACLETO FERRARI</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DA5105">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9F0A0A" w:rsidRDefault="009F0A0A"/>
    <w:sectPr w:rsidR="009F0A0A" w:rsidSect="005F7F19">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036" w:rsidRDefault="00114036" w:rsidP="009F0A0A">
      <w:pPr>
        <w:spacing w:after="0" w:line="240" w:lineRule="auto"/>
      </w:pPr>
      <w:r>
        <w:separator/>
      </w:r>
    </w:p>
  </w:endnote>
  <w:endnote w:type="continuationSeparator" w:id="1">
    <w:p w:rsidR="00114036" w:rsidRDefault="00114036" w:rsidP="009F0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36" w:rsidRDefault="00114036">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14036" w:rsidRDefault="00114036">
                <w:pPr>
                  <w:pStyle w:val="Rodap"/>
                </w:pPr>
                <w:r>
                  <w:rPr>
                    <w:rStyle w:val="Nmerodepgina"/>
                  </w:rPr>
                  <w:fldChar w:fldCharType="begin"/>
                </w:r>
                <w:r>
                  <w:rPr>
                    <w:rStyle w:val="Nmerodepgina"/>
                  </w:rPr>
                  <w:instrText xml:space="preserve"> PAGE </w:instrText>
                </w:r>
                <w:r>
                  <w:rPr>
                    <w:rStyle w:val="Nmerodepgina"/>
                  </w:rPr>
                  <w:fldChar w:fldCharType="separate"/>
                </w:r>
                <w:r w:rsidR="00DA5105">
                  <w:rPr>
                    <w:rStyle w:val="Nmerodepgina"/>
                    <w:noProof/>
                  </w:rPr>
                  <w:t>9</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036" w:rsidRDefault="00114036" w:rsidP="009F0A0A">
      <w:pPr>
        <w:spacing w:after="0" w:line="240" w:lineRule="auto"/>
      </w:pPr>
      <w:r>
        <w:separator/>
      </w:r>
    </w:p>
  </w:footnote>
  <w:footnote w:type="continuationSeparator" w:id="1">
    <w:p w:rsidR="00114036" w:rsidRDefault="00114036" w:rsidP="009F0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36" w:rsidRDefault="00114036" w:rsidP="00302D86">
    <w:pPr>
      <w:ind w:left="1134"/>
      <w:rPr>
        <w:sz w:val="20"/>
      </w:rPr>
    </w:pPr>
    <w:r w:rsidRPr="009F0A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114036" w:rsidRPr="00D60F40" w:rsidRDefault="00114036" w:rsidP="00302D86">
    <w:pPr>
      <w:ind w:left="1134"/>
      <w:rPr>
        <w:sz w:val="20"/>
      </w:rPr>
    </w:pPr>
    <w:r>
      <w:rPr>
        <w:sz w:val="20"/>
      </w:rPr>
      <w:t>SECRETARIA MUNICIPAL DE SAÚDE</w:t>
    </w:r>
  </w:p>
  <w:p w:rsidR="00114036" w:rsidRDefault="00114036" w:rsidP="00302D86">
    <w:pPr>
      <w:ind w:left="1134"/>
      <w:rPr>
        <w:b/>
        <w:sz w:val="20"/>
      </w:rPr>
    </w:pPr>
    <w:r w:rsidRPr="0067696A">
      <w:rPr>
        <w:b/>
        <w:sz w:val="20"/>
      </w:rPr>
      <w:t xml:space="preserve">Fundo Municipal de Saúde </w:t>
    </w:r>
    <w:r>
      <w:rPr>
        <w:b/>
        <w:sz w:val="20"/>
      </w:rPr>
      <w:t>–</w:t>
    </w:r>
    <w:r w:rsidRPr="0067696A">
      <w:rPr>
        <w:b/>
        <w:sz w:val="20"/>
      </w:rPr>
      <w:t xml:space="preserve"> FMS</w:t>
    </w:r>
  </w:p>
  <w:p w:rsidR="00114036" w:rsidRPr="0067696A" w:rsidRDefault="00114036" w:rsidP="00302D86">
    <w:pPr>
      <w:ind w:left="851"/>
      <w:rPr>
        <w:b/>
        <w:sz w:val="20"/>
      </w:rPr>
    </w:pPr>
  </w:p>
  <w:p w:rsidR="00114036" w:rsidRDefault="0011403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114036"/>
    <w:rsid w:val="00143A1E"/>
    <w:rsid w:val="00264102"/>
    <w:rsid w:val="002A4E31"/>
    <w:rsid w:val="002B29DA"/>
    <w:rsid w:val="00302D86"/>
    <w:rsid w:val="00344680"/>
    <w:rsid w:val="0042185D"/>
    <w:rsid w:val="00454A82"/>
    <w:rsid w:val="004F70C3"/>
    <w:rsid w:val="005F7F19"/>
    <w:rsid w:val="00667125"/>
    <w:rsid w:val="006969A7"/>
    <w:rsid w:val="00857BBA"/>
    <w:rsid w:val="009F0A0A"/>
    <w:rsid w:val="00C17F0D"/>
    <w:rsid w:val="00C5432B"/>
    <w:rsid w:val="00CB79A0"/>
    <w:rsid w:val="00DA5105"/>
    <w:rsid w:val="00EC11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0A"/>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019D-2C2C-45F5-9FC0-8E451947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3007</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15</cp:revision>
  <dcterms:created xsi:type="dcterms:W3CDTF">2017-11-24T17:39:00Z</dcterms:created>
  <dcterms:modified xsi:type="dcterms:W3CDTF">2017-11-24T18:35:00Z</dcterms:modified>
</cp:coreProperties>
</file>