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00EB333C">
        <w:rPr>
          <w:rFonts w:ascii="Arial" w:hAnsi="Arial" w:cs="Arial"/>
          <w:b/>
          <w:sz w:val="20"/>
          <w:szCs w:val="20"/>
        </w:rPr>
        <w:t>/2017/FMS/03</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9122A7">
        <w:tc>
          <w:tcPr>
            <w:tcW w:w="402" w:type="dxa"/>
            <w:vMerge w:val="restart"/>
            <w:vAlign w:val="center"/>
          </w:tcPr>
          <w:p w:rsidR="000C32A2" w:rsidRPr="000C32A2" w:rsidRDefault="000C32A2" w:rsidP="009122A7">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proofErr w:type="spellStart"/>
            <w:r>
              <w:rPr>
                <w:rFonts w:ascii="Arial" w:hAnsi="Arial" w:cs="Arial"/>
                <w:b/>
                <w:sz w:val="20"/>
                <w:szCs w:val="20"/>
              </w:rPr>
              <w:t>S&amp;R</w:t>
            </w:r>
            <w:proofErr w:type="spellEnd"/>
            <w:r>
              <w:rPr>
                <w:rFonts w:ascii="Arial" w:hAnsi="Arial" w:cs="Arial"/>
                <w:b/>
                <w:sz w:val="20"/>
                <w:szCs w:val="20"/>
              </w:rPr>
              <w:t xml:space="preserve"> DISTRIBUIDORA LTDA</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 xml:space="preserve">RUA REGENTE DIOGO A. FEIJO, </w:t>
            </w:r>
            <w:proofErr w:type="gramStart"/>
            <w:r>
              <w:rPr>
                <w:rFonts w:ascii="Arial" w:hAnsi="Arial" w:cs="Arial"/>
                <w:b/>
                <w:sz w:val="20"/>
                <w:szCs w:val="20"/>
              </w:rPr>
              <w:t>451D</w:t>
            </w:r>
            <w:proofErr w:type="gramEnd"/>
            <w:r>
              <w:rPr>
                <w:rFonts w:ascii="Arial" w:hAnsi="Arial" w:cs="Arial"/>
                <w:b/>
                <w:sz w:val="20"/>
                <w:szCs w:val="20"/>
              </w:rPr>
              <w:t xml:space="preserve"> – FONE: 49-3323.0360</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04.889.315/0001-92 – CHAPECO/SC</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p>
        </w:tc>
        <w:tc>
          <w:tcPr>
            <w:tcW w:w="6984" w:type="dxa"/>
            <w:vAlign w:val="center"/>
          </w:tcPr>
          <w:p w:rsidR="000C32A2" w:rsidRPr="000C32A2" w:rsidRDefault="000C32A2" w:rsidP="009122A7">
            <w:pPr>
              <w:autoSpaceDE w:val="0"/>
              <w:autoSpaceDN w:val="0"/>
              <w:adjustRightInd w:val="0"/>
              <w:rPr>
                <w:rFonts w:ascii="Arial" w:hAnsi="Arial" w:cs="Arial"/>
                <w:b/>
                <w:sz w:val="20"/>
                <w:szCs w:val="20"/>
              </w:rPr>
            </w:pP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SERGIO JACIR CORTELA</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CHAPECO/SC</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182.633.649-49</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EB333C" w:rsidP="009122A7">
            <w:pPr>
              <w:autoSpaceDE w:val="0"/>
              <w:autoSpaceDN w:val="0"/>
              <w:adjustRightInd w:val="0"/>
              <w:rPr>
                <w:rFonts w:ascii="Arial" w:hAnsi="Arial" w:cs="Arial"/>
                <w:b/>
                <w:sz w:val="20"/>
                <w:szCs w:val="20"/>
              </w:rPr>
            </w:pPr>
            <w:r>
              <w:rPr>
                <w:rFonts w:ascii="Arial" w:hAnsi="Arial" w:cs="Arial"/>
                <w:b/>
                <w:sz w:val="20"/>
                <w:szCs w:val="20"/>
              </w:rPr>
              <w:t>3.450.055</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276"/>
        <w:gridCol w:w="1276"/>
        <w:gridCol w:w="1417"/>
      </w:tblGrid>
      <w:tr w:rsidR="000C32A2" w:rsidRPr="000C32A2" w:rsidTr="009122A7">
        <w:tc>
          <w:tcPr>
            <w:tcW w:w="634"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UN</w:t>
            </w:r>
          </w:p>
        </w:tc>
        <w:tc>
          <w:tcPr>
            <w:tcW w:w="1276"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1276"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r>
      <w:tr w:rsidR="000C32A2" w:rsidRPr="000C32A2" w:rsidTr="009122A7">
        <w:trPr>
          <w:trHeight w:val="185"/>
        </w:trPr>
        <w:tc>
          <w:tcPr>
            <w:tcW w:w="634" w:type="dxa"/>
            <w:vAlign w:val="center"/>
          </w:tcPr>
          <w:p w:rsidR="000C32A2" w:rsidRPr="000C32A2" w:rsidRDefault="000C32A2" w:rsidP="009122A7">
            <w:pPr>
              <w:jc w:val="center"/>
              <w:rPr>
                <w:rFonts w:ascii="Arial" w:hAnsi="Arial" w:cs="Arial"/>
                <w:sz w:val="20"/>
                <w:szCs w:val="20"/>
              </w:rPr>
            </w:pPr>
            <w:r w:rsidRPr="000C32A2">
              <w:rPr>
                <w:rFonts w:ascii="Arial" w:hAnsi="Arial" w:cs="Arial"/>
                <w:sz w:val="20"/>
                <w:szCs w:val="20"/>
              </w:rPr>
              <w:t>12</w:t>
            </w:r>
          </w:p>
        </w:tc>
        <w:tc>
          <w:tcPr>
            <w:tcW w:w="3902" w:type="dxa"/>
            <w:vAlign w:val="center"/>
          </w:tcPr>
          <w:p w:rsidR="000C32A2" w:rsidRPr="000C32A2" w:rsidRDefault="000C32A2" w:rsidP="009122A7">
            <w:pPr>
              <w:rPr>
                <w:rFonts w:ascii="Arial" w:hAnsi="Arial" w:cs="Arial"/>
                <w:sz w:val="20"/>
                <w:szCs w:val="20"/>
              </w:rPr>
            </w:pPr>
            <w:proofErr w:type="spellStart"/>
            <w:r w:rsidRPr="000C32A2">
              <w:rPr>
                <w:rFonts w:ascii="Arial" w:hAnsi="Arial" w:cs="Arial"/>
                <w:sz w:val="20"/>
                <w:szCs w:val="20"/>
              </w:rPr>
              <w:t>Nifedipina</w:t>
            </w:r>
            <w:proofErr w:type="spellEnd"/>
            <w:r w:rsidRPr="000C32A2">
              <w:rPr>
                <w:rFonts w:ascii="Arial" w:hAnsi="Arial" w:cs="Arial"/>
                <w:sz w:val="20"/>
                <w:szCs w:val="20"/>
              </w:rPr>
              <w:t xml:space="preserve"> 10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9122A7">
            <w:pPr>
              <w:jc w:val="right"/>
              <w:rPr>
                <w:rFonts w:ascii="Arial" w:hAnsi="Arial" w:cs="Arial"/>
                <w:sz w:val="20"/>
                <w:szCs w:val="20"/>
              </w:rPr>
            </w:pPr>
            <w:r w:rsidRPr="000C32A2">
              <w:rPr>
                <w:rFonts w:ascii="Arial" w:hAnsi="Arial" w:cs="Arial"/>
                <w:sz w:val="20"/>
                <w:szCs w:val="20"/>
              </w:rPr>
              <w:t>20.000</w:t>
            </w:r>
          </w:p>
        </w:tc>
        <w:tc>
          <w:tcPr>
            <w:tcW w:w="708" w:type="dxa"/>
            <w:vAlign w:val="center"/>
          </w:tcPr>
          <w:p w:rsidR="000C32A2" w:rsidRPr="000C32A2" w:rsidRDefault="000C32A2" w:rsidP="009122A7">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276" w:type="dxa"/>
            <w:vAlign w:val="center"/>
          </w:tcPr>
          <w:p w:rsidR="000C32A2" w:rsidRPr="000C32A2" w:rsidRDefault="00EB333C" w:rsidP="009122A7">
            <w:pPr>
              <w:snapToGrid w:val="0"/>
              <w:rPr>
                <w:rFonts w:ascii="Arial" w:hAnsi="Arial" w:cs="Arial"/>
                <w:sz w:val="20"/>
                <w:szCs w:val="20"/>
              </w:rPr>
            </w:pPr>
            <w:r>
              <w:rPr>
                <w:rFonts w:ascii="Arial" w:hAnsi="Arial" w:cs="Arial"/>
                <w:sz w:val="20"/>
                <w:szCs w:val="20"/>
              </w:rPr>
              <w:t>BRAINFARMA</w:t>
            </w:r>
          </w:p>
        </w:tc>
        <w:tc>
          <w:tcPr>
            <w:tcW w:w="1276" w:type="dxa"/>
            <w:vAlign w:val="center"/>
          </w:tcPr>
          <w:p w:rsidR="000C32A2" w:rsidRPr="000C32A2" w:rsidRDefault="00EB333C" w:rsidP="009122A7">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028</w:t>
            </w:r>
          </w:p>
        </w:tc>
        <w:tc>
          <w:tcPr>
            <w:tcW w:w="1417" w:type="dxa"/>
            <w:vAlign w:val="center"/>
          </w:tcPr>
          <w:p w:rsidR="000C32A2" w:rsidRPr="000C32A2" w:rsidRDefault="00EB333C" w:rsidP="009122A7">
            <w:pPr>
              <w:snapToGrid w:val="0"/>
              <w:jc w:val="right"/>
              <w:rPr>
                <w:rFonts w:ascii="Arial" w:hAnsi="Arial" w:cs="Arial"/>
                <w:sz w:val="20"/>
                <w:szCs w:val="20"/>
              </w:rPr>
            </w:pPr>
            <w:r>
              <w:rPr>
                <w:rFonts w:ascii="Arial" w:hAnsi="Arial" w:cs="Arial"/>
                <w:sz w:val="20"/>
                <w:szCs w:val="20"/>
              </w:rPr>
              <w:t>560,00</w:t>
            </w:r>
          </w:p>
        </w:tc>
      </w:tr>
      <w:tr w:rsidR="000C32A2" w:rsidRPr="000C32A2" w:rsidTr="009122A7">
        <w:tc>
          <w:tcPr>
            <w:tcW w:w="634" w:type="dxa"/>
            <w:vAlign w:val="center"/>
          </w:tcPr>
          <w:p w:rsidR="000C32A2" w:rsidRPr="000C32A2" w:rsidRDefault="000C32A2" w:rsidP="009122A7">
            <w:pPr>
              <w:jc w:val="center"/>
              <w:rPr>
                <w:rFonts w:ascii="Arial" w:hAnsi="Arial" w:cs="Arial"/>
                <w:sz w:val="20"/>
                <w:szCs w:val="20"/>
              </w:rPr>
            </w:pPr>
            <w:r w:rsidRPr="000C32A2">
              <w:rPr>
                <w:rFonts w:ascii="Arial" w:hAnsi="Arial" w:cs="Arial"/>
                <w:sz w:val="20"/>
                <w:szCs w:val="20"/>
              </w:rPr>
              <w:t>14</w:t>
            </w:r>
          </w:p>
        </w:tc>
        <w:tc>
          <w:tcPr>
            <w:tcW w:w="3902" w:type="dxa"/>
            <w:vAlign w:val="center"/>
          </w:tcPr>
          <w:p w:rsidR="000C32A2" w:rsidRPr="000C32A2" w:rsidRDefault="000C32A2" w:rsidP="009122A7">
            <w:pPr>
              <w:rPr>
                <w:rFonts w:ascii="Arial" w:hAnsi="Arial" w:cs="Arial"/>
                <w:sz w:val="20"/>
                <w:szCs w:val="20"/>
              </w:rPr>
            </w:pPr>
            <w:proofErr w:type="spellStart"/>
            <w:r w:rsidRPr="000C32A2">
              <w:rPr>
                <w:rFonts w:ascii="Arial" w:hAnsi="Arial" w:cs="Arial"/>
                <w:sz w:val="20"/>
                <w:szCs w:val="20"/>
              </w:rPr>
              <w:t>Sulfametoxazol</w:t>
            </w:r>
            <w:proofErr w:type="spellEnd"/>
            <w:r w:rsidRPr="000C32A2">
              <w:rPr>
                <w:rFonts w:ascii="Arial" w:hAnsi="Arial" w:cs="Arial"/>
                <w:sz w:val="20"/>
                <w:szCs w:val="20"/>
              </w:rPr>
              <w:t xml:space="preserve"> 400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 </w:t>
            </w:r>
            <w:proofErr w:type="spellStart"/>
            <w:r w:rsidRPr="000C32A2">
              <w:rPr>
                <w:rFonts w:ascii="Arial" w:hAnsi="Arial" w:cs="Arial"/>
                <w:sz w:val="20"/>
                <w:szCs w:val="20"/>
              </w:rPr>
              <w:t>Trimetoprima</w:t>
            </w:r>
            <w:proofErr w:type="spellEnd"/>
            <w:r w:rsidRPr="000C32A2">
              <w:rPr>
                <w:rFonts w:ascii="Arial" w:hAnsi="Arial" w:cs="Arial"/>
                <w:sz w:val="20"/>
                <w:szCs w:val="20"/>
              </w:rPr>
              <w:t xml:space="preserve"> 80 </w:t>
            </w:r>
            <w:proofErr w:type="spellStart"/>
            <w:r w:rsidRPr="000C32A2">
              <w:rPr>
                <w:rFonts w:ascii="Arial" w:hAnsi="Arial" w:cs="Arial"/>
                <w:sz w:val="20"/>
                <w:szCs w:val="20"/>
              </w:rPr>
              <w:t>mg</w:t>
            </w:r>
            <w:proofErr w:type="spellEnd"/>
            <w:r w:rsidRPr="000C32A2">
              <w:rPr>
                <w:rFonts w:ascii="Arial" w:hAnsi="Arial" w:cs="Arial"/>
                <w:sz w:val="20"/>
                <w:szCs w:val="20"/>
              </w:rPr>
              <w:t xml:space="preserve"> </w:t>
            </w:r>
          </w:p>
        </w:tc>
        <w:tc>
          <w:tcPr>
            <w:tcW w:w="993" w:type="dxa"/>
            <w:vAlign w:val="center"/>
          </w:tcPr>
          <w:p w:rsidR="000C32A2" w:rsidRPr="000C32A2" w:rsidRDefault="000C32A2" w:rsidP="009122A7">
            <w:pPr>
              <w:jc w:val="right"/>
              <w:rPr>
                <w:rFonts w:ascii="Arial" w:hAnsi="Arial" w:cs="Arial"/>
                <w:sz w:val="20"/>
                <w:szCs w:val="20"/>
              </w:rPr>
            </w:pPr>
            <w:r w:rsidRPr="000C32A2">
              <w:rPr>
                <w:rFonts w:ascii="Arial" w:hAnsi="Arial" w:cs="Arial"/>
                <w:sz w:val="20"/>
                <w:szCs w:val="20"/>
              </w:rPr>
              <w:t>20.000</w:t>
            </w:r>
          </w:p>
        </w:tc>
        <w:tc>
          <w:tcPr>
            <w:tcW w:w="708" w:type="dxa"/>
            <w:vAlign w:val="center"/>
          </w:tcPr>
          <w:p w:rsidR="000C32A2" w:rsidRPr="000C32A2" w:rsidRDefault="000C32A2" w:rsidP="009122A7">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276" w:type="dxa"/>
            <w:vAlign w:val="center"/>
          </w:tcPr>
          <w:p w:rsidR="000C32A2" w:rsidRPr="000C32A2" w:rsidRDefault="00EB333C" w:rsidP="009122A7">
            <w:pPr>
              <w:snapToGrid w:val="0"/>
              <w:rPr>
                <w:rFonts w:ascii="Arial" w:hAnsi="Arial" w:cs="Arial"/>
                <w:sz w:val="20"/>
                <w:szCs w:val="20"/>
              </w:rPr>
            </w:pPr>
            <w:r>
              <w:rPr>
                <w:rFonts w:ascii="Arial" w:hAnsi="Arial" w:cs="Arial"/>
                <w:sz w:val="20"/>
                <w:szCs w:val="20"/>
              </w:rPr>
              <w:t>PRATI</w:t>
            </w:r>
          </w:p>
        </w:tc>
        <w:tc>
          <w:tcPr>
            <w:tcW w:w="1276" w:type="dxa"/>
            <w:vAlign w:val="center"/>
          </w:tcPr>
          <w:p w:rsidR="000C32A2" w:rsidRPr="000C32A2" w:rsidRDefault="00EB333C" w:rsidP="009122A7">
            <w:pPr>
              <w:snapToGrid w:val="0"/>
              <w:jc w:val="right"/>
              <w:rPr>
                <w:rFonts w:ascii="Arial" w:hAnsi="Arial" w:cs="Arial"/>
                <w:sz w:val="20"/>
                <w:szCs w:val="20"/>
              </w:rPr>
            </w:pPr>
            <w:r>
              <w:rPr>
                <w:rFonts w:ascii="Arial" w:hAnsi="Arial" w:cs="Arial"/>
                <w:sz w:val="20"/>
                <w:szCs w:val="20"/>
              </w:rPr>
              <w:t>0,08</w:t>
            </w:r>
          </w:p>
        </w:tc>
        <w:tc>
          <w:tcPr>
            <w:tcW w:w="1417" w:type="dxa"/>
            <w:vAlign w:val="center"/>
          </w:tcPr>
          <w:p w:rsidR="000C32A2" w:rsidRPr="000C32A2" w:rsidRDefault="00EB333C" w:rsidP="009122A7">
            <w:pPr>
              <w:snapToGrid w:val="0"/>
              <w:jc w:val="right"/>
              <w:rPr>
                <w:rFonts w:ascii="Arial" w:hAnsi="Arial" w:cs="Arial"/>
                <w:sz w:val="20"/>
                <w:szCs w:val="20"/>
              </w:rPr>
            </w:pPr>
            <w:r>
              <w:rPr>
                <w:rFonts w:ascii="Arial" w:hAnsi="Arial" w:cs="Arial"/>
                <w:sz w:val="20"/>
                <w:szCs w:val="20"/>
              </w:rPr>
              <w:t>1.600,00</w:t>
            </w:r>
          </w:p>
        </w:tc>
      </w:tr>
      <w:tr w:rsidR="000C32A2" w:rsidRPr="000C32A2" w:rsidTr="009122A7">
        <w:tc>
          <w:tcPr>
            <w:tcW w:w="8789" w:type="dxa"/>
            <w:gridSpan w:val="6"/>
            <w:vAlign w:val="center"/>
          </w:tcPr>
          <w:p w:rsidR="000C32A2" w:rsidRPr="000C32A2" w:rsidRDefault="000C32A2" w:rsidP="009122A7">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EB333C" w:rsidP="009122A7">
            <w:pPr>
              <w:snapToGrid w:val="0"/>
              <w:jc w:val="right"/>
              <w:rPr>
                <w:rFonts w:ascii="Arial" w:hAnsi="Arial" w:cs="Arial"/>
                <w:sz w:val="20"/>
                <w:szCs w:val="20"/>
              </w:rPr>
            </w:pPr>
            <w:r>
              <w:rPr>
                <w:rFonts w:ascii="Arial" w:hAnsi="Arial" w:cs="Arial"/>
                <w:sz w:val="20"/>
                <w:szCs w:val="20"/>
              </w:rPr>
              <w:t>2.160,00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P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0C32A2" w:rsidRPr="000C32A2" w:rsidRDefault="000C32A2" w:rsidP="000C32A2">
      <w:pPr>
        <w:jc w:val="both"/>
        <w:rPr>
          <w:rFonts w:ascii="Arial" w:hAnsi="Arial" w:cs="Arial"/>
          <w:sz w:val="20"/>
          <w:szCs w:val="20"/>
        </w:rPr>
      </w:pPr>
    </w:p>
    <w:p w:rsidR="000C32A2" w:rsidRPr="00EB333C" w:rsidRDefault="000C32A2" w:rsidP="00EB333C">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 xml:space="preserve">enviado, quando na ocasião do recebimento, for constatado que o mesmo encontra-se com defeito, diferente da solicitação ou em </w:t>
      </w:r>
      <w:r w:rsidRPr="000C32A2">
        <w:rPr>
          <w:rFonts w:ascii="Arial" w:hAnsi="Arial" w:cs="Arial"/>
          <w:sz w:val="20"/>
          <w:szCs w:val="20"/>
        </w:rPr>
        <w:lastRenderedPageBreak/>
        <w:t>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aceite dos medicamentos não exclui a responsabilidade civil do fornecedor por vícios de quantidade, de qualidade ou técnico dos produtos, ou por desacordo com as especificações estabelecidas, verificadas 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Caso o medicamento seja recusado ou o documento fiscal apresente incorreção, o prazo de pagamento 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pagamento será efetuado por meio de transferência bancária</w:t>
      </w:r>
      <w:r w:rsidR="00EB333C">
        <w:rPr>
          <w:rFonts w:ascii="Arial" w:hAnsi="Arial" w:cs="Arial"/>
          <w:sz w:val="20"/>
          <w:szCs w:val="20"/>
        </w:rPr>
        <w:t>, na conta corrente nº 9012-3, do Banco do BRASIL, agência nº 3542-4</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0C32A2" w:rsidRPr="00EB333C" w:rsidRDefault="000C32A2" w:rsidP="00EB333C">
      <w:pPr>
        <w:pStyle w:val="Corpodetexto"/>
        <w:numPr>
          <w:ilvl w:val="2"/>
          <w:numId w:val="3"/>
        </w:numPr>
        <w:tabs>
          <w:tab w:val="clear" w:pos="708"/>
          <w:tab w:val="clear" w:pos="2270"/>
          <w:tab w:val="clear" w:pos="4294"/>
          <w:tab w:val="left" w:pos="567"/>
        </w:tabs>
        <w:ind w:left="567" w:hanging="567"/>
        <w:rPr>
          <w:sz w:val="20"/>
        </w:rPr>
      </w:pPr>
      <w:r w:rsidRPr="000C32A2">
        <w:rPr>
          <w:sz w:val="20"/>
        </w:rPr>
        <w:t xml:space="preserve">Mesmo comprovada </w:t>
      </w:r>
      <w:proofErr w:type="gramStart"/>
      <w:r w:rsidRPr="000C32A2">
        <w:rPr>
          <w:sz w:val="20"/>
        </w:rPr>
        <w:t>a</w:t>
      </w:r>
      <w:proofErr w:type="gramEnd"/>
      <w:r w:rsidRPr="000C32A2">
        <w:rPr>
          <w:sz w:val="20"/>
        </w:rPr>
        <w:t xml:space="preserve"> ocorrência prevista na alínea “d”, inciso II, do art. 65 da Lei nº 8.666/93, a Administração, se julgar conveniente, poderá optar por cancelar a presente Ata e promover outro processo licitatório.</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tabs>
          <w:tab w:val="clear" w:pos="708"/>
          <w:tab w:val="clear" w:pos="2270"/>
          <w:tab w:val="clear" w:pos="4294"/>
          <w:tab w:val="left" w:pos="567"/>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lastRenderedPageBreak/>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Providenciar a publicação resumida da presente Ata até o quinto dia útil do mês seguinte ao de sua 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Emitir a Solicitação e a respectiva Nota de Empenho de Despesa para que a DETENTORA proceda ao 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EB333C" w:rsidRDefault="000C32A2" w:rsidP="00EB333C">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EB333C" w:rsidRDefault="000C32A2" w:rsidP="00EB333C">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w:t>
      </w:r>
      <w:r w:rsidR="00EB333C">
        <w:rPr>
          <w:rFonts w:ascii="Arial" w:hAnsi="Arial" w:cs="Arial"/>
        </w:rPr>
        <w:t>por cento) do total registrado.</w:t>
      </w:r>
    </w:p>
    <w:p w:rsidR="000C32A2" w:rsidRPr="00EB333C" w:rsidRDefault="000C32A2" w:rsidP="00EB333C">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8"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9"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0C32A2" w:rsidRDefault="000C32A2" w:rsidP="000C32A2">
      <w:pPr>
        <w:pStyle w:val="Corpodetexto"/>
        <w:tabs>
          <w:tab w:val="clear" w:pos="708"/>
          <w:tab w:val="clear" w:pos="2270"/>
          <w:tab w:val="clear" w:pos="4294"/>
          <w:tab w:val="left" w:pos="709"/>
        </w:tabs>
        <w:ind w:left="709"/>
        <w:rPr>
          <w:sz w:val="20"/>
        </w:rPr>
      </w:pPr>
    </w:p>
    <w:p w:rsidR="000C32A2" w:rsidRPr="000C32A2" w:rsidRDefault="000C32A2" w:rsidP="000C32A2">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EB333C" w:rsidRDefault="000C32A2" w:rsidP="00EB333C">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lastRenderedPageBreak/>
        <w:t>O sistema de registro de preços deste Município tem como objetivo manter na entidade o registro de propostas vantajosas e, segundo sua conveniência, promover as contrações junto as DETENTORA(S) desta Ata.</w:t>
      </w:r>
    </w:p>
    <w:p w:rsidR="000C32A2" w:rsidRPr="00EB333C" w:rsidRDefault="000C32A2" w:rsidP="00EB333C">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EB333C" w:rsidRDefault="000C32A2" w:rsidP="00EB333C">
      <w:pPr>
        <w:pStyle w:val="Ttulo"/>
        <w:numPr>
          <w:ilvl w:val="1"/>
          <w:numId w:val="10"/>
        </w:numPr>
        <w:ind w:left="426" w:hanging="426"/>
        <w:jc w:val="both"/>
        <w:rPr>
          <w:rFonts w:ascii="Arial" w:hAnsi="Arial" w:cs="Arial"/>
          <w:b w:val="0"/>
          <w:sz w:val="20"/>
        </w:rPr>
      </w:pPr>
      <w:r w:rsidRPr="000C32A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EB333C" w:rsidRDefault="000C32A2" w:rsidP="00EB333C">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27 de setembro</w:t>
      </w:r>
      <w:r w:rsidR="000C32A2" w:rsidRPr="000C32A2">
        <w:rPr>
          <w:rFonts w:ascii="Arial" w:hAnsi="Arial" w:cs="Arial"/>
          <w:sz w:val="20"/>
          <w:szCs w:val="20"/>
        </w:rPr>
        <w:t xml:space="preserve"> de 2017.</w:t>
      </w:r>
    </w:p>
    <w:p w:rsidR="000C32A2" w:rsidRPr="000C32A2" w:rsidRDefault="000C32A2" w:rsidP="00EB333C">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EB333C">
      <w:pPr>
        <w:tabs>
          <w:tab w:val="left" w:pos="1134"/>
        </w:tabs>
        <w:rPr>
          <w:rFonts w:ascii="Arial" w:hAnsi="Arial" w:cs="Arial"/>
          <w:sz w:val="20"/>
          <w:szCs w:val="20"/>
        </w:rPr>
      </w:pPr>
    </w:p>
    <w:p w:rsidR="000C32A2" w:rsidRDefault="00EB333C" w:rsidP="000C32A2">
      <w:pPr>
        <w:tabs>
          <w:tab w:val="left" w:pos="1134"/>
        </w:tabs>
        <w:jc w:val="center"/>
        <w:rPr>
          <w:rFonts w:ascii="Arial" w:hAnsi="Arial" w:cs="Arial"/>
          <w:sz w:val="20"/>
          <w:szCs w:val="20"/>
        </w:rPr>
      </w:pPr>
      <w:r>
        <w:rPr>
          <w:rFonts w:ascii="Arial" w:hAnsi="Arial" w:cs="Arial"/>
          <w:sz w:val="20"/>
          <w:szCs w:val="20"/>
        </w:rPr>
        <w:t>S &amp; R DISTRIBUIDORA LTDA</w:t>
      </w:r>
    </w:p>
    <w:p w:rsidR="00EB333C" w:rsidRPr="000C32A2" w:rsidRDefault="00EB333C" w:rsidP="000C32A2">
      <w:pPr>
        <w:tabs>
          <w:tab w:val="left" w:pos="1134"/>
        </w:tabs>
        <w:jc w:val="center"/>
        <w:rPr>
          <w:rFonts w:ascii="Arial" w:hAnsi="Arial" w:cs="Arial"/>
          <w:sz w:val="20"/>
          <w:szCs w:val="20"/>
        </w:rPr>
      </w:pPr>
      <w:r>
        <w:rPr>
          <w:rFonts w:ascii="Arial" w:hAnsi="Arial" w:cs="Arial"/>
          <w:sz w:val="20"/>
          <w:szCs w:val="20"/>
        </w:rPr>
        <w:t>SERGIO JACIR CORTELA</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EB333C">
      <w:pPr>
        <w:tabs>
          <w:tab w:val="left" w:pos="284"/>
        </w:tabs>
        <w:rPr>
          <w:rFonts w:ascii="Arial" w:hAnsi="Arial" w:cs="Arial"/>
          <w:sz w:val="20"/>
          <w:szCs w:val="20"/>
        </w:rPr>
      </w:pPr>
    </w:p>
    <w:p w:rsidR="000C32A2" w:rsidRPr="000C32A2" w:rsidRDefault="00EB333C"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Pr>
          <w:rFonts w:ascii="Arial" w:hAnsi="Arial" w:cs="Arial"/>
          <w:sz w:val="20"/>
          <w:szCs w:val="20"/>
        </w:rPr>
        <w:t>____</w:t>
      </w:r>
      <w:r w:rsidR="000C32A2" w:rsidRPr="000C32A2">
        <w:rPr>
          <w:rFonts w:ascii="Arial" w:hAnsi="Arial" w:cs="Arial"/>
          <w:sz w:val="20"/>
          <w:szCs w:val="20"/>
        </w:rPr>
        <w:t>________________</w:t>
      </w:r>
    </w:p>
    <w:p w:rsidR="00571791" w:rsidRDefault="00571791"/>
    <w:sectPr w:rsidR="00571791" w:rsidSect="00C93C21">
      <w:headerReference w:type="default" r:id="rId10"/>
      <w:footerReference w:type="default" r:id="rId11"/>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91" w:rsidRDefault="00571791" w:rsidP="00571791">
      <w:pPr>
        <w:spacing w:after="0" w:line="240" w:lineRule="auto"/>
      </w:pPr>
      <w:r>
        <w:separator/>
      </w:r>
    </w:p>
  </w:endnote>
  <w:endnote w:type="continuationSeparator" w:id="1">
    <w:p w:rsidR="00571791" w:rsidRDefault="00571791" w:rsidP="00571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571791">
    <w:pPr>
      <w:pStyle w:val="Rodap"/>
      <w:ind w:right="360"/>
      <w:rPr>
        <w:sz w:val="16"/>
      </w:rPr>
    </w:pPr>
    <w:r w:rsidRPr="00571791">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571791">
                <w:pPr>
                  <w:pStyle w:val="Rodap"/>
                </w:pPr>
                <w:r>
                  <w:rPr>
                    <w:rStyle w:val="Nmerodepgina"/>
                  </w:rPr>
                  <w:fldChar w:fldCharType="begin"/>
                </w:r>
                <w:r w:rsidR="004C4B30">
                  <w:rPr>
                    <w:rStyle w:val="Nmerodepgina"/>
                  </w:rPr>
                  <w:instrText xml:space="preserve"> PAGE </w:instrText>
                </w:r>
                <w:r>
                  <w:rPr>
                    <w:rStyle w:val="Nmerodepgina"/>
                  </w:rPr>
                  <w:fldChar w:fldCharType="separate"/>
                </w:r>
                <w:r w:rsidR="00EB333C">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91" w:rsidRDefault="00571791" w:rsidP="00571791">
      <w:pPr>
        <w:spacing w:after="0" w:line="240" w:lineRule="auto"/>
      </w:pPr>
      <w:r>
        <w:separator/>
      </w:r>
    </w:p>
  </w:footnote>
  <w:footnote w:type="continuationSeparator" w:id="1">
    <w:p w:rsidR="00571791" w:rsidRDefault="00571791" w:rsidP="00571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4C4B30">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4C4B30" w:rsidP="00C541D6">
    <w:pPr>
      <w:ind w:left="851"/>
      <w:rPr>
        <w:sz w:val="20"/>
      </w:rPr>
    </w:pPr>
    <w:r w:rsidRPr="00F511E9">
      <w:rPr>
        <w:sz w:val="20"/>
      </w:rPr>
      <w:t>MUNICÍPIO DE JOAÇABA</w:t>
    </w:r>
  </w:p>
  <w:p w:rsidR="008D04C3" w:rsidRPr="00F511E9" w:rsidRDefault="004C4B30" w:rsidP="00C541D6">
    <w:pPr>
      <w:ind w:left="851"/>
      <w:rPr>
        <w:sz w:val="20"/>
      </w:rPr>
    </w:pPr>
    <w:r>
      <w:rPr>
        <w:sz w:val="20"/>
      </w:rPr>
      <w:t>SECRETARIA MUNICIPAL DE SAÚDE</w:t>
    </w:r>
  </w:p>
  <w:p w:rsidR="008D04C3" w:rsidRDefault="004C4B30" w:rsidP="00C541D6">
    <w:pPr>
      <w:ind w:left="851"/>
      <w:rPr>
        <w:b/>
        <w:sz w:val="20"/>
      </w:rPr>
    </w:pPr>
    <w:r>
      <w:rPr>
        <w:b/>
        <w:sz w:val="20"/>
      </w:rPr>
      <w:t>Fundo Municipal de Saúde – FMS</w:t>
    </w:r>
  </w:p>
  <w:p w:rsidR="008D04C3" w:rsidRDefault="00EB333C" w:rsidP="00C541D6">
    <w:pPr>
      <w:ind w:left="851"/>
      <w:rPr>
        <w:b/>
        <w:sz w:val="20"/>
      </w:rPr>
    </w:pPr>
  </w:p>
  <w:p w:rsidR="008D04C3" w:rsidRDefault="00EB333C">
    <w:pPr>
      <w:pStyle w:val="Cabealho"/>
    </w:pPr>
  </w:p>
  <w:p w:rsidR="008D04C3" w:rsidRDefault="00EB33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32A2"/>
    <w:rsid w:val="000C32A2"/>
    <w:rsid w:val="0011600F"/>
    <w:rsid w:val="004C4B30"/>
    <w:rsid w:val="00571791"/>
    <w:rsid w:val="00EB33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91"/>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2477</Words>
  <Characters>13380</Characters>
  <Application>Microsoft Office Word</Application>
  <DocSecurity>0</DocSecurity>
  <Lines>111</Lines>
  <Paragraphs>31</Paragraphs>
  <ScaleCrop>false</ScaleCrop>
  <Company>PMJ</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2017-09-28T16:02:00Z</dcterms:created>
  <dcterms:modified xsi:type="dcterms:W3CDTF">2017-09-28T16:08:00Z</dcterms:modified>
</cp:coreProperties>
</file>