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EE4180">
        <w:rPr>
          <w:rFonts w:ascii="Arial" w:hAnsi="Arial" w:cs="Arial"/>
          <w:b/>
          <w:sz w:val="20"/>
          <w:szCs w:val="20"/>
        </w:rPr>
        <w:t>03</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classificação,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F10EF7">
        <w:tc>
          <w:tcPr>
            <w:tcW w:w="402" w:type="dxa"/>
            <w:vMerge w:val="restart"/>
            <w:vAlign w:val="center"/>
          </w:tcPr>
          <w:p w:rsidR="00E31344" w:rsidRPr="00E31344" w:rsidRDefault="00E31344" w:rsidP="00F10EF7">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JOAÇABA PNEUS LTDA</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AV. RIO</w:t>
            </w:r>
            <w:r w:rsidR="004168F6">
              <w:rPr>
                <w:rFonts w:ascii="Arial" w:hAnsi="Arial" w:cs="Arial"/>
                <w:b/>
                <w:sz w:val="20"/>
                <w:szCs w:val="20"/>
              </w:rPr>
              <w:t xml:space="preserve"> BRANCO, 246 – FONE: 49-3522-039</w:t>
            </w:r>
            <w:r>
              <w:rPr>
                <w:rFonts w:ascii="Arial" w:hAnsi="Arial" w:cs="Arial"/>
                <w:b/>
                <w:sz w:val="20"/>
                <w:szCs w:val="20"/>
              </w:rPr>
              <w:t>3</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84.587.245/0001-57 – JOAÇABA/SC</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p>
        </w:tc>
        <w:tc>
          <w:tcPr>
            <w:tcW w:w="6984" w:type="dxa"/>
            <w:vAlign w:val="center"/>
          </w:tcPr>
          <w:p w:rsidR="00E31344" w:rsidRPr="00E31344" w:rsidRDefault="00E31344" w:rsidP="00F10EF7">
            <w:pPr>
              <w:autoSpaceDE w:val="0"/>
              <w:autoSpaceDN w:val="0"/>
              <w:adjustRightInd w:val="0"/>
              <w:rPr>
                <w:rFonts w:ascii="Arial" w:hAnsi="Arial" w:cs="Arial"/>
                <w:b/>
                <w:sz w:val="20"/>
                <w:szCs w:val="20"/>
              </w:rPr>
            </w:pP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IONE</w:t>
            </w:r>
            <w:r w:rsidR="004168F6">
              <w:rPr>
                <w:rFonts w:ascii="Arial" w:hAnsi="Arial" w:cs="Arial"/>
                <w:b/>
                <w:sz w:val="20"/>
                <w:szCs w:val="20"/>
              </w:rPr>
              <w:t xml:space="preserve"> </w:t>
            </w:r>
            <w:r>
              <w:rPr>
                <w:rFonts w:ascii="Arial" w:hAnsi="Arial" w:cs="Arial"/>
                <w:b/>
                <w:sz w:val="20"/>
                <w:szCs w:val="20"/>
              </w:rPr>
              <w:t>SUHNEL BESS</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JOAÇABA/SC</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826.311.589-20</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382.931</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118"/>
        <w:gridCol w:w="1701"/>
        <w:gridCol w:w="1418"/>
        <w:gridCol w:w="1701"/>
      </w:tblGrid>
      <w:tr w:rsidR="006E6502" w:rsidRPr="00A41239" w:rsidTr="006E6502">
        <w:tc>
          <w:tcPr>
            <w:tcW w:w="694"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lastRenderedPageBreak/>
              <w:t>ITEM</w:t>
            </w:r>
          </w:p>
        </w:tc>
        <w:tc>
          <w:tcPr>
            <w:tcW w:w="832"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QTDE</w:t>
            </w:r>
          </w:p>
        </w:tc>
        <w:tc>
          <w:tcPr>
            <w:tcW w:w="567"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UN</w:t>
            </w:r>
          </w:p>
        </w:tc>
        <w:tc>
          <w:tcPr>
            <w:tcW w:w="3118"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ESPECIFICAÇÃO</w:t>
            </w:r>
          </w:p>
        </w:tc>
        <w:tc>
          <w:tcPr>
            <w:tcW w:w="1701"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MARCA</w:t>
            </w:r>
          </w:p>
        </w:tc>
        <w:tc>
          <w:tcPr>
            <w:tcW w:w="1418"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VALOR UNITÁRIO PROPOSTO R$</w:t>
            </w:r>
          </w:p>
        </w:tc>
        <w:tc>
          <w:tcPr>
            <w:tcW w:w="1701"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VALOR TOTAL PROPOSTO R$</w:t>
            </w:r>
          </w:p>
        </w:tc>
      </w:tr>
      <w:tr w:rsidR="006E6502" w:rsidRPr="00A41239" w:rsidTr="006E6502">
        <w:tc>
          <w:tcPr>
            <w:tcW w:w="694" w:type="dxa"/>
            <w:shd w:val="clear" w:color="auto" w:fill="auto"/>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1</w:t>
            </w:r>
            <w:proofErr w:type="gramEnd"/>
          </w:p>
        </w:tc>
        <w:tc>
          <w:tcPr>
            <w:tcW w:w="832" w:type="dxa"/>
            <w:shd w:val="clear" w:color="auto" w:fill="auto"/>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04</w:t>
            </w:r>
          </w:p>
        </w:tc>
        <w:tc>
          <w:tcPr>
            <w:tcW w:w="567"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shd w:val="clear" w:color="auto" w:fill="auto"/>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900x20 – 16 lonas – liso - </w:t>
            </w:r>
            <w:r w:rsidRPr="00511869">
              <w:rPr>
                <w:rFonts w:ascii="Arial" w:hAnsi="Arial" w:cs="Arial"/>
                <w:b/>
                <w:sz w:val="18"/>
                <w:szCs w:val="18"/>
              </w:rPr>
              <w:t>1ª linha</w:t>
            </w:r>
            <w:r w:rsidRPr="00511869">
              <w:rPr>
                <w:rFonts w:ascii="Arial" w:hAnsi="Arial" w:cs="Arial"/>
                <w:sz w:val="18"/>
                <w:szCs w:val="18"/>
              </w:rPr>
              <w:t xml:space="preserve"> - com câmara de ar e protetor</w:t>
            </w:r>
          </w:p>
        </w:tc>
        <w:tc>
          <w:tcPr>
            <w:tcW w:w="1701" w:type="dxa"/>
            <w:shd w:val="clear" w:color="auto" w:fill="auto"/>
            <w:vAlign w:val="center"/>
          </w:tcPr>
          <w:p w:rsidR="006E6502" w:rsidRPr="00511869" w:rsidRDefault="00F10EF7" w:rsidP="00F10EF7">
            <w:pPr>
              <w:rPr>
                <w:rFonts w:ascii="Arial" w:hAnsi="Arial" w:cs="Arial"/>
                <w:sz w:val="18"/>
                <w:szCs w:val="18"/>
              </w:rPr>
            </w:pPr>
            <w:r w:rsidRPr="00511869">
              <w:rPr>
                <w:rFonts w:ascii="Arial" w:hAnsi="Arial" w:cs="Arial"/>
                <w:sz w:val="18"/>
                <w:szCs w:val="18"/>
              </w:rPr>
              <w:t>CT65 PIR/QBC</w:t>
            </w:r>
          </w:p>
        </w:tc>
        <w:tc>
          <w:tcPr>
            <w:tcW w:w="1418" w:type="dxa"/>
            <w:shd w:val="clear" w:color="auto" w:fill="auto"/>
            <w:vAlign w:val="center"/>
          </w:tcPr>
          <w:p w:rsidR="006E6502" w:rsidRPr="00511869" w:rsidRDefault="00F10EF7" w:rsidP="00F10EF7">
            <w:pPr>
              <w:jc w:val="right"/>
              <w:rPr>
                <w:rFonts w:ascii="Arial" w:hAnsi="Arial" w:cs="Arial"/>
                <w:sz w:val="18"/>
                <w:szCs w:val="18"/>
              </w:rPr>
            </w:pPr>
            <w:r w:rsidRPr="00511869">
              <w:rPr>
                <w:rFonts w:ascii="Arial" w:hAnsi="Arial" w:cs="Arial"/>
                <w:sz w:val="18"/>
                <w:szCs w:val="18"/>
              </w:rPr>
              <w:t>838,00</w:t>
            </w:r>
          </w:p>
        </w:tc>
        <w:tc>
          <w:tcPr>
            <w:tcW w:w="1701" w:type="dxa"/>
            <w:shd w:val="clear" w:color="auto" w:fill="auto"/>
            <w:vAlign w:val="center"/>
          </w:tcPr>
          <w:p w:rsidR="006E6502" w:rsidRPr="00511869" w:rsidRDefault="00F10EF7" w:rsidP="00F10EF7">
            <w:pPr>
              <w:jc w:val="right"/>
              <w:rPr>
                <w:rFonts w:ascii="Arial" w:hAnsi="Arial" w:cs="Arial"/>
                <w:sz w:val="18"/>
                <w:szCs w:val="18"/>
              </w:rPr>
            </w:pPr>
            <w:r w:rsidRPr="00511869">
              <w:rPr>
                <w:rFonts w:ascii="Arial" w:hAnsi="Arial" w:cs="Arial"/>
                <w:sz w:val="18"/>
                <w:szCs w:val="18"/>
              </w:rPr>
              <w:t>3.352,00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2</w:t>
            </w:r>
            <w:proofErr w:type="gramEnd"/>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52</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1000x20 – 16 lonas – borrachudo – comum – </w:t>
            </w:r>
            <w:r w:rsidRPr="00511869">
              <w:rPr>
                <w:rFonts w:ascii="Arial" w:hAnsi="Arial" w:cs="Arial"/>
                <w:b/>
                <w:sz w:val="18"/>
                <w:szCs w:val="18"/>
              </w:rPr>
              <w:t>1ª linha</w:t>
            </w:r>
            <w:r w:rsidRPr="00511869">
              <w:rPr>
                <w:rFonts w:ascii="Arial" w:hAnsi="Arial" w:cs="Arial"/>
                <w:sz w:val="18"/>
                <w:szCs w:val="18"/>
              </w:rPr>
              <w:t xml:space="preserve"> - com câmara de ar e protetor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RT59 PIRQBOM</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1.063,00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55.276,00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3</w:t>
            </w:r>
            <w:proofErr w:type="gramEnd"/>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16</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1000x20 – 16 lonas – liso – comum – </w:t>
            </w:r>
            <w:r w:rsidRPr="00511869">
              <w:rPr>
                <w:rFonts w:ascii="Arial" w:hAnsi="Arial" w:cs="Arial"/>
                <w:b/>
                <w:sz w:val="18"/>
                <w:szCs w:val="18"/>
              </w:rPr>
              <w:t>1ª linha</w:t>
            </w:r>
            <w:r w:rsidRPr="00511869">
              <w:rPr>
                <w:rFonts w:ascii="Arial" w:hAnsi="Arial" w:cs="Arial"/>
                <w:sz w:val="18"/>
                <w:szCs w:val="18"/>
              </w:rPr>
              <w:t xml:space="preserve"> - com câmara de ar e protetor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CT65 PIR/QBOM</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977,00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15.632,00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9</w:t>
            </w:r>
            <w:proofErr w:type="gramEnd"/>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06</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14.9x24 – 12 lonas – </w:t>
            </w:r>
            <w:r w:rsidRPr="00511869">
              <w:rPr>
                <w:rFonts w:ascii="Arial" w:hAnsi="Arial" w:cs="Arial"/>
                <w:b/>
                <w:sz w:val="18"/>
                <w:szCs w:val="18"/>
              </w:rPr>
              <w:t>1ª linha</w:t>
            </w:r>
            <w:r w:rsidRPr="00511869">
              <w:rPr>
                <w:rFonts w:ascii="Arial" w:hAnsi="Arial" w:cs="Arial"/>
                <w:sz w:val="18"/>
                <w:szCs w:val="18"/>
              </w:rPr>
              <w:t xml:space="preserve"> - com câmara de ar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TM95 PIRELLI</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1.706,00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10.236,00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17</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34</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w:t>
            </w:r>
            <w:proofErr w:type="gramStart"/>
            <w:r w:rsidRPr="00511869">
              <w:rPr>
                <w:rFonts w:ascii="Arial" w:hAnsi="Arial" w:cs="Arial"/>
                <w:sz w:val="18"/>
                <w:szCs w:val="18"/>
              </w:rPr>
              <w:t>750xR16</w:t>
            </w:r>
            <w:proofErr w:type="gramEnd"/>
            <w:r w:rsidRPr="00511869">
              <w:rPr>
                <w:rFonts w:ascii="Arial" w:hAnsi="Arial" w:cs="Arial"/>
                <w:sz w:val="18"/>
                <w:szCs w:val="18"/>
              </w:rPr>
              <w:t xml:space="preserve"> – 12 lonas – liso – </w:t>
            </w:r>
            <w:r w:rsidRPr="00511869">
              <w:rPr>
                <w:rFonts w:ascii="Arial" w:hAnsi="Arial" w:cs="Arial"/>
                <w:b/>
                <w:sz w:val="18"/>
                <w:szCs w:val="18"/>
              </w:rPr>
              <w:t>1ª linha</w:t>
            </w:r>
            <w:r w:rsidRPr="00511869">
              <w:rPr>
                <w:rFonts w:ascii="Arial" w:hAnsi="Arial" w:cs="Arial"/>
                <w:sz w:val="18"/>
                <w:szCs w:val="18"/>
              </w:rPr>
              <w:t xml:space="preserve"> - com câmara de ar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CT52 PIR/HE415</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540,00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18.360,00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18</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24</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w:t>
            </w:r>
            <w:proofErr w:type="gramStart"/>
            <w:r w:rsidRPr="00511869">
              <w:rPr>
                <w:rFonts w:ascii="Arial" w:hAnsi="Arial" w:cs="Arial"/>
                <w:sz w:val="18"/>
                <w:szCs w:val="18"/>
              </w:rPr>
              <w:t>750xR16</w:t>
            </w:r>
            <w:proofErr w:type="gramEnd"/>
            <w:r w:rsidRPr="00511869">
              <w:rPr>
                <w:rFonts w:ascii="Arial" w:hAnsi="Arial" w:cs="Arial"/>
                <w:sz w:val="18"/>
                <w:szCs w:val="18"/>
              </w:rPr>
              <w:t xml:space="preserve"> – 12 lonas – borrachudo – </w:t>
            </w:r>
            <w:r w:rsidRPr="00511869">
              <w:rPr>
                <w:rFonts w:ascii="Arial" w:hAnsi="Arial" w:cs="Arial"/>
                <w:b/>
                <w:sz w:val="18"/>
                <w:szCs w:val="18"/>
              </w:rPr>
              <w:t>1ª linha</w:t>
            </w:r>
            <w:r w:rsidRPr="00511869">
              <w:rPr>
                <w:rFonts w:ascii="Arial" w:hAnsi="Arial" w:cs="Arial"/>
                <w:sz w:val="18"/>
                <w:szCs w:val="18"/>
              </w:rPr>
              <w:t xml:space="preserve"> - com câmara de ar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AS22 PIR/HE415</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530,00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12.720,00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19</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40</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1000R20 – 16 lonas – radial - liso misto - </w:t>
            </w:r>
            <w:r w:rsidRPr="00511869">
              <w:rPr>
                <w:rFonts w:ascii="Arial" w:hAnsi="Arial" w:cs="Arial"/>
                <w:b/>
                <w:sz w:val="18"/>
                <w:szCs w:val="18"/>
              </w:rPr>
              <w:t>1ª linha</w:t>
            </w:r>
            <w:r w:rsidRPr="00511869">
              <w:rPr>
                <w:rFonts w:ascii="Arial" w:hAnsi="Arial" w:cs="Arial"/>
                <w:sz w:val="18"/>
                <w:szCs w:val="18"/>
              </w:rPr>
              <w:t xml:space="preserve"> - com câmara de ar e protetor </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FG01 PIR/QBOM</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1.532,00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61.280,00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20</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80</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1000R20 – 16 lonas – radial - borrachudo misto - </w:t>
            </w:r>
            <w:r w:rsidRPr="00511869">
              <w:rPr>
                <w:rFonts w:ascii="Arial" w:hAnsi="Arial" w:cs="Arial"/>
                <w:b/>
                <w:sz w:val="18"/>
                <w:szCs w:val="18"/>
              </w:rPr>
              <w:t>1ª linha</w:t>
            </w:r>
            <w:r w:rsidRPr="00511869">
              <w:rPr>
                <w:rFonts w:ascii="Arial" w:hAnsi="Arial" w:cs="Arial"/>
                <w:sz w:val="18"/>
                <w:szCs w:val="18"/>
              </w:rPr>
              <w:t xml:space="preserve"> - com câmara de ar e protetor </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TG01 PIR/QBOM</w:t>
            </w:r>
          </w:p>
        </w:tc>
        <w:tc>
          <w:tcPr>
            <w:tcW w:w="1418"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1.618,00</w:t>
            </w:r>
          </w:p>
        </w:tc>
        <w:tc>
          <w:tcPr>
            <w:tcW w:w="1701"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129.440,00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23</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12</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UN</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205/75x15 – radial - </w:t>
            </w:r>
            <w:r w:rsidRPr="00511869">
              <w:rPr>
                <w:rFonts w:ascii="Arial" w:hAnsi="Arial" w:cs="Arial"/>
                <w:b/>
                <w:sz w:val="18"/>
                <w:szCs w:val="18"/>
              </w:rPr>
              <w:t>1ª linha</w:t>
            </w:r>
          </w:p>
        </w:tc>
        <w:tc>
          <w:tcPr>
            <w:tcW w:w="1701" w:type="dxa"/>
            <w:vAlign w:val="center"/>
          </w:tcPr>
          <w:p w:rsidR="006E6502" w:rsidRPr="00511869" w:rsidRDefault="008E7AA8" w:rsidP="00F10EF7">
            <w:pPr>
              <w:rPr>
                <w:rFonts w:ascii="Arial" w:hAnsi="Arial" w:cs="Arial"/>
                <w:b/>
                <w:sz w:val="18"/>
                <w:szCs w:val="18"/>
              </w:rPr>
            </w:pPr>
            <w:r w:rsidRPr="00511869">
              <w:rPr>
                <w:rFonts w:ascii="Arial" w:hAnsi="Arial" w:cs="Arial"/>
                <w:b/>
                <w:sz w:val="18"/>
                <w:szCs w:val="18"/>
              </w:rPr>
              <w:t>ART WL PIRELLI</w:t>
            </w:r>
          </w:p>
        </w:tc>
        <w:tc>
          <w:tcPr>
            <w:tcW w:w="1418"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332,00</w:t>
            </w:r>
          </w:p>
        </w:tc>
        <w:tc>
          <w:tcPr>
            <w:tcW w:w="1701"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3.984,00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32</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22</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UN</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165/70x13 – radial - </w:t>
            </w:r>
            <w:r w:rsidRPr="00511869">
              <w:rPr>
                <w:rFonts w:ascii="Arial" w:hAnsi="Arial" w:cs="Arial"/>
                <w:b/>
                <w:sz w:val="18"/>
                <w:szCs w:val="18"/>
              </w:rPr>
              <w:t>1ª linha</w:t>
            </w:r>
          </w:p>
        </w:tc>
        <w:tc>
          <w:tcPr>
            <w:tcW w:w="1701" w:type="dxa"/>
            <w:vAlign w:val="center"/>
          </w:tcPr>
          <w:p w:rsidR="006E6502" w:rsidRPr="00511869" w:rsidRDefault="0010746E" w:rsidP="00F10EF7">
            <w:pPr>
              <w:rPr>
                <w:rFonts w:ascii="Arial" w:hAnsi="Arial" w:cs="Arial"/>
                <w:b/>
                <w:sz w:val="18"/>
                <w:szCs w:val="18"/>
              </w:rPr>
            </w:pPr>
            <w:r w:rsidRPr="00511869">
              <w:rPr>
                <w:rFonts w:ascii="Arial" w:hAnsi="Arial" w:cs="Arial"/>
                <w:b/>
                <w:sz w:val="18"/>
                <w:szCs w:val="18"/>
              </w:rPr>
              <w:t>P4 CINT PIRELLI</w:t>
            </w:r>
          </w:p>
        </w:tc>
        <w:tc>
          <w:tcPr>
            <w:tcW w:w="1418" w:type="dxa"/>
            <w:vAlign w:val="center"/>
          </w:tcPr>
          <w:p w:rsidR="006E6502" w:rsidRPr="00511869" w:rsidRDefault="0010746E" w:rsidP="00F10EF7">
            <w:pPr>
              <w:jc w:val="right"/>
              <w:rPr>
                <w:rFonts w:ascii="Arial" w:hAnsi="Arial" w:cs="Arial"/>
                <w:b/>
                <w:sz w:val="18"/>
                <w:szCs w:val="18"/>
              </w:rPr>
            </w:pPr>
            <w:r w:rsidRPr="00511869">
              <w:rPr>
                <w:rFonts w:ascii="Arial" w:hAnsi="Arial" w:cs="Arial"/>
                <w:b/>
                <w:sz w:val="18"/>
                <w:szCs w:val="18"/>
              </w:rPr>
              <w:t>151,00</w:t>
            </w:r>
          </w:p>
        </w:tc>
        <w:tc>
          <w:tcPr>
            <w:tcW w:w="1701" w:type="dxa"/>
            <w:vAlign w:val="center"/>
          </w:tcPr>
          <w:p w:rsidR="006E6502" w:rsidRPr="00511869" w:rsidRDefault="0010746E" w:rsidP="00F10EF7">
            <w:pPr>
              <w:jc w:val="right"/>
              <w:rPr>
                <w:rFonts w:ascii="Arial" w:hAnsi="Arial" w:cs="Arial"/>
                <w:b/>
                <w:sz w:val="18"/>
                <w:szCs w:val="18"/>
              </w:rPr>
            </w:pPr>
            <w:r w:rsidRPr="00511869">
              <w:rPr>
                <w:rFonts w:ascii="Arial" w:hAnsi="Arial" w:cs="Arial"/>
                <w:b/>
                <w:sz w:val="18"/>
                <w:szCs w:val="18"/>
              </w:rPr>
              <w:t>3.322,00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lastRenderedPageBreak/>
        <w:t>CLÁUSULA TERCEIRA - DA FORMA DE EXECUÇÃO</w:t>
      </w:r>
    </w:p>
    <w:p w:rsidR="00E31344" w:rsidRPr="00C70C2E" w:rsidRDefault="00E31344" w:rsidP="00C70C2E">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C70C2E" w:rsidRDefault="00E31344" w:rsidP="00C70C2E">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C70C2E" w:rsidRDefault="00E31344" w:rsidP="00C70C2E">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C70C2E" w:rsidRDefault="00E31344" w:rsidP="00C70C2E">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E31344" w:rsidRPr="00C70C2E" w:rsidRDefault="00E31344" w:rsidP="00C70C2E">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AD6D65"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112F6E">
        <w:rPr>
          <w:rFonts w:cs="Arial"/>
          <w:sz w:val="20"/>
        </w:rPr>
        <w:t xml:space="preserve"> Banco Brasil, </w:t>
      </w:r>
      <w:proofErr w:type="spellStart"/>
      <w:r w:rsidR="00112F6E">
        <w:rPr>
          <w:rFonts w:cs="Arial"/>
          <w:sz w:val="20"/>
        </w:rPr>
        <w:t>Ag</w:t>
      </w:r>
      <w:proofErr w:type="spellEnd"/>
      <w:r w:rsidR="00112F6E">
        <w:rPr>
          <w:rFonts w:cs="Arial"/>
          <w:sz w:val="20"/>
        </w:rPr>
        <w:t>.  4072-X, c/c 2057-5</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 xml:space="preserve">FUNDO MUNICIPAL DE ASSITÊNCIA SOCIAL DE JOAÇABA, Av. XV de Novembro, 378, CNPJ nº </w:t>
      </w:r>
      <w:r w:rsidRPr="00E31344">
        <w:rPr>
          <w:rFonts w:ascii="Arial" w:hAnsi="Arial" w:cs="Arial"/>
          <w:sz w:val="20"/>
          <w:szCs w:val="20"/>
        </w:rPr>
        <w:lastRenderedPageBreak/>
        <w:t>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C70C2E" w:rsidRDefault="00E31344" w:rsidP="00C70C2E">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C70C2E" w:rsidRDefault="00E31344" w:rsidP="00C70C2E">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C70C2E"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Administração, se julgar conveniente, poderá optar por cancelar a presente Ata e promover outro processo licitatório.</w:t>
      </w:r>
    </w:p>
    <w:p w:rsidR="00E31344" w:rsidRPr="00C70C2E" w:rsidRDefault="00E31344" w:rsidP="00C70C2E">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C70C2E"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E31344">
        <w:rPr>
          <w:rFonts w:cs="Arial"/>
          <w:sz w:val="20"/>
        </w:rPr>
        <w:t>a</w:t>
      </w:r>
      <w:proofErr w:type="gramEnd"/>
      <w:r w:rsidRPr="00E31344">
        <w:rPr>
          <w:rFonts w:cs="Arial"/>
          <w:sz w:val="20"/>
        </w:rPr>
        <w:t xml:space="preserve">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 xml:space="preserve">Responsabilizar-se pelos custos inerentes a encargos tributários, sociais, fiscais, trabalhistas, </w:t>
      </w:r>
      <w:r w:rsidRPr="00E31344">
        <w:rPr>
          <w:rFonts w:ascii="Arial" w:hAnsi="Arial" w:cs="Arial"/>
          <w:sz w:val="20"/>
          <w:szCs w:val="20"/>
        </w:rPr>
        <w:lastRenderedPageBreak/>
        <w:t>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C70C2E" w:rsidRDefault="00E31344" w:rsidP="00C70C2E">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C70C2E"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Providenciar a publicação resumida da presente Ata até o quinto dia útil do mês seguinte ao de sua 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C70C2E" w:rsidRDefault="00E31344" w:rsidP="00C70C2E">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C70C2E" w:rsidRDefault="00E31344" w:rsidP="00C70C2E">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C70C2E" w:rsidRDefault="00E31344" w:rsidP="00C70C2E">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31344" w:rsidRPr="00C70C2E" w:rsidRDefault="00E31344" w:rsidP="00C70C2E">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C70C2E" w:rsidRDefault="00E31344" w:rsidP="00C70C2E">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252213" w:rsidRDefault="00E31344" w:rsidP="00AD6D65">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D6D65" w:rsidRPr="00AD6D65" w:rsidRDefault="00AD6D65" w:rsidP="00AD6D65">
      <w:pPr>
        <w:rPr>
          <w:lang w:eastAsia="ar-SA"/>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Pr="00E31344" w:rsidRDefault="00E31344" w:rsidP="00E3134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E31344" w:rsidRPr="00E31344" w:rsidRDefault="00E31344" w:rsidP="00E31344">
      <w:pPr>
        <w:tabs>
          <w:tab w:val="left" w:pos="0"/>
        </w:tabs>
        <w:jc w:val="both"/>
        <w:rPr>
          <w:rFonts w:ascii="Arial" w:hAnsi="Arial" w:cs="Arial"/>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C70C2E">
      <w:pPr>
        <w:tabs>
          <w:tab w:val="left" w:pos="1134"/>
        </w:tabs>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Default="00E31344" w:rsidP="00AD6D65">
      <w:pPr>
        <w:tabs>
          <w:tab w:val="left" w:pos="1134"/>
        </w:tabs>
        <w:jc w:val="center"/>
        <w:rPr>
          <w:rFonts w:ascii="Arial" w:hAnsi="Arial" w:cs="Arial"/>
          <w:sz w:val="20"/>
          <w:szCs w:val="20"/>
        </w:rPr>
      </w:pPr>
      <w:r w:rsidRPr="00E31344">
        <w:rPr>
          <w:rFonts w:ascii="Arial" w:hAnsi="Arial" w:cs="Arial"/>
          <w:sz w:val="20"/>
          <w:szCs w:val="20"/>
        </w:rPr>
        <w:t xml:space="preserve">VILSON SARTORI </w:t>
      </w:r>
      <w:r w:rsidR="00AD6D65">
        <w:rPr>
          <w:rFonts w:ascii="Arial" w:hAnsi="Arial" w:cs="Arial"/>
          <w:sz w:val="20"/>
          <w:szCs w:val="20"/>
        </w:rPr>
        <w:t>–</w:t>
      </w:r>
      <w:r w:rsidRPr="00E31344">
        <w:rPr>
          <w:rFonts w:ascii="Arial" w:hAnsi="Arial" w:cs="Arial"/>
          <w:sz w:val="20"/>
          <w:szCs w:val="20"/>
        </w:rPr>
        <w:t xml:space="preserve"> Secretário</w:t>
      </w:r>
    </w:p>
    <w:p w:rsidR="00AD6D65" w:rsidRPr="00E31344" w:rsidRDefault="00AD6D65" w:rsidP="00AD6D65">
      <w:pPr>
        <w:tabs>
          <w:tab w:val="left" w:pos="1134"/>
        </w:tabs>
        <w:jc w:val="center"/>
        <w:rPr>
          <w:rFonts w:ascii="Arial" w:hAnsi="Arial" w:cs="Arial"/>
          <w:sz w:val="20"/>
          <w:szCs w:val="20"/>
        </w:rPr>
      </w:pPr>
    </w:p>
    <w:p w:rsidR="00E31344" w:rsidRDefault="000B7534" w:rsidP="00E31344">
      <w:pPr>
        <w:tabs>
          <w:tab w:val="left" w:pos="1134"/>
        </w:tabs>
        <w:jc w:val="center"/>
        <w:rPr>
          <w:rFonts w:ascii="Arial" w:hAnsi="Arial" w:cs="Arial"/>
          <w:sz w:val="20"/>
          <w:szCs w:val="20"/>
        </w:rPr>
      </w:pPr>
      <w:r>
        <w:rPr>
          <w:rFonts w:ascii="Arial" w:hAnsi="Arial" w:cs="Arial"/>
          <w:sz w:val="20"/>
          <w:szCs w:val="20"/>
        </w:rPr>
        <w:t>JOAÇABA PNEUS LTDA</w:t>
      </w:r>
    </w:p>
    <w:p w:rsidR="000B7534" w:rsidRPr="00E31344" w:rsidRDefault="000B7534" w:rsidP="00E31344">
      <w:pPr>
        <w:tabs>
          <w:tab w:val="left" w:pos="1134"/>
        </w:tabs>
        <w:jc w:val="center"/>
        <w:rPr>
          <w:rFonts w:ascii="Arial" w:hAnsi="Arial" w:cs="Arial"/>
          <w:sz w:val="20"/>
          <w:szCs w:val="20"/>
        </w:rPr>
      </w:pPr>
      <w:r>
        <w:rPr>
          <w:rFonts w:ascii="Arial" w:hAnsi="Arial" w:cs="Arial"/>
          <w:sz w:val="20"/>
          <w:szCs w:val="20"/>
        </w:rPr>
        <w:t>IONE SUHNEL BESS</w:t>
      </w: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511869">
      <w:pPr>
        <w:tabs>
          <w:tab w:val="left" w:pos="284"/>
        </w:tabs>
        <w:rPr>
          <w:rFonts w:ascii="Arial" w:hAnsi="Arial" w:cs="Arial"/>
          <w:sz w:val="20"/>
          <w:szCs w:val="20"/>
        </w:rPr>
      </w:pPr>
    </w:p>
    <w:p w:rsidR="003444EB" w:rsidRPr="00511869" w:rsidRDefault="00E31344" w:rsidP="00511869">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sectPr w:rsidR="003444EB" w:rsidRPr="00511869" w:rsidSect="00F10EF7">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D65" w:rsidRDefault="00AD6D65" w:rsidP="003444EB">
      <w:pPr>
        <w:spacing w:after="0" w:line="240" w:lineRule="auto"/>
      </w:pPr>
      <w:r>
        <w:separator/>
      </w:r>
    </w:p>
  </w:endnote>
  <w:endnote w:type="continuationSeparator" w:id="1">
    <w:p w:rsidR="00AD6D65" w:rsidRDefault="00AD6D65"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65" w:rsidRDefault="00C62CBB">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AD6D65" w:rsidRDefault="00C62CBB">
                <w:pPr>
                  <w:pStyle w:val="Rodap"/>
                </w:pPr>
                <w:r>
                  <w:rPr>
                    <w:rStyle w:val="Nmerodepgina"/>
                  </w:rPr>
                  <w:fldChar w:fldCharType="begin"/>
                </w:r>
                <w:r w:rsidR="00AD6D65">
                  <w:rPr>
                    <w:rStyle w:val="Nmerodepgina"/>
                  </w:rPr>
                  <w:instrText xml:space="preserve"> PAGE </w:instrText>
                </w:r>
                <w:r>
                  <w:rPr>
                    <w:rStyle w:val="Nmerodepgina"/>
                  </w:rPr>
                  <w:fldChar w:fldCharType="separate"/>
                </w:r>
                <w:r w:rsidR="004168F6">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D65" w:rsidRDefault="00AD6D65" w:rsidP="003444EB">
      <w:pPr>
        <w:spacing w:after="0" w:line="240" w:lineRule="auto"/>
      </w:pPr>
      <w:r>
        <w:separator/>
      </w:r>
    </w:p>
  </w:footnote>
  <w:footnote w:type="continuationSeparator" w:id="1">
    <w:p w:rsidR="00AD6D65" w:rsidRDefault="00AD6D65"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65" w:rsidRPr="00434E5B" w:rsidRDefault="00C62CBB" w:rsidP="00F10EF7">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00AD6D65" w:rsidRPr="00434E5B">
      <w:rPr>
        <w:sz w:val="20"/>
      </w:rPr>
      <w:t>Estado de Santa Catarina</w:t>
    </w:r>
  </w:p>
  <w:p w:rsidR="00AD6D65" w:rsidRPr="00434E5B" w:rsidRDefault="00AD6D65" w:rsidP="00F10EF7">
    <w:pPr>
      <w:ind w:left="993"/>
      <w:rPr>
        <w:b/>
        <w:sz w:val="20"/>
      </w:rPr>
    </w:pPr>
    <w:r w:rsidRPr="00434E5B">
      <w:rPr>
        <w:b/>
        <w:sz w:val="20"/>
      </w:rPr>
      <w:t>MUNICÍPIO DE JOAÇABA</w:t>
    </w:r>
  </w:p>
  <w:p w:rsidR="00AD6D65" w:rsidRPr="008354FE" w:rsidRDefault="00AD6D65" w:rsidP="00F10EF7">
    <w:pPr>
      <w:ind w:left="993"/>
    </w:pPr>
  </w:p>
  <w:p w:rsidR="00AD6D65" w:rsidRDefault="00AD6D65" w:rsidP="00F10EF7">
    <w:pPr>
      <w:ind w:left="993"/>
      <w:rPr>
        <w:sz w:val="20"/>
      </w:rPr>
    </w:pPr>
  </w:p>
  <w:p w:rsidR="00AD6D65" w:rsidRDefault="00AD6D65" w:rsidP="00F10EF7">
    <w:pPr>
      <w:ind w:left="993"/>
      <w:rPr>
        <w:sz w:val="20"/>
      </w:rPr>
    </w:pPr>
  </w:p>
  <w:p w:rsidR="00AD6D65" w:rsidRPr="000F6032" w:rsidRDefault="00AD6D65" w:rsidP="00F10EF7">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B7534"/>
    <w:rsid w:val="000F17F4"/>
    <w:rsid w:val="0010746E"/>
    <w:rsid w:val="00112F6E"/>
    <w:rsid w:val="00252213"/>
    <w:rsid w:val="003444EB"/>
    <w:rsid w:val="003A6851"/>
    <w:rsid w:val="004168F6"/>
    <w:rsid w:val="0049074C"/>
    <w:rsid w:val="00511869"/>
    <w:rsid w:val="006E6502"/>
    <w:rsid w:val="006F7799"/>
    <w:rsid w:val="007459EF"/>
    <w:rsid w:val="008E7AA8"/>
    <w:rsid w:val="00AD6D65"/>
    <w:rsid w:val="00C62CBB"/>
    <w:rsid w:val="00C70C2E"/>
    <w:rsid w:val="00E31344"/>
    <w:rsid w:val="00EE4180"/>
    <w:rsid w:val="00F10E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2527</Words>
  <Characters>13648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2017-09-14T18:17:00Z</dcterms:created>
  <dcterms:modified xsi:type="dcterms:W3CDTF">2017-09-25T19:17:00Z</dcterms:modified>
</cp:coreProperties>
</file>