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985B0B">
        <w:rPr>
          <w:rFonts w:ascii="Arial" w:hAnsi="Arial" w:cs="Arial"/>
          <w:b/>
          <w:sz w:val="20"/>
          <w:szCs w:val="20"/>
        </w:rPr>
        <w:t>05</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204B06">
        <w:tc>
          <w:tcPr>
            <w:tcW w:w="402" w:type="dxa"/>
            <w:vMerge w:val="restart"/>
            <w:vAlign w:val="center"/>
          </w:tcPr>
          <w:p w:rsidR="00383C31" w:rsidRPr="00383C31" w:rsidRDefault="00383C31" w:rsidP="00204B06">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CENCI EQUIPAMENTOS DE SEGURANÇA LTDA-ME</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RUA DARCY LONGHI, 385 – FONE: 54-3455-4029</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94.987.930/0001-24 – BENTO GONÇALVES/RS</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p>
        </w:tc>
        <w:tc>
          <w:tcPr>
            <w:tcW w:w="6984" w:type="dxa"/>
            <w:vAlign w:val="center"/>
          </w:tcPr>
          <w:p w:rsidR="00383C31" w:rsidRPr="00383C31" w:rsidRDefault="00383C31" w:rsidP="00204B06">
            <w:pPr>
              <w:autoSpaceDE w:val="0"/>
              <w:autoSpaceDN w:val="0"/>
              <w:adjustRightInd w:val="0"/>
              <w:rPr>
                <w:rFonts w:ascii="Arial" w:hAnsi="Arial" w:cs="Arial"/>
                <w:b/>
                <w:sz w:val="20"/>
                <w:szCs w:val="20"/>
              </w:rPr>
            </w:pP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RENATO CENCI</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BENTO GONÇALVES/RS</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438.046.910-72</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423CC2" w:rsidP="00204B06">
            <w:pPr>
              <w:autoSpaceDE w:val="0"/>
              <w:autoSpaceDN w:val="0"/>
              <w:adjustRightInd w:val="0"/>
              <w:rPr>
                <w:rFonts w:ascii="Arial" w:hAnsi="Arial" w:cs="Arial"/>
                <w:b/>
                <w:sz w:val="20"/>
                <w:szCs w:val="20"/>
              </w:rPr>
            </w:pPr>
            <w:r>
              <w:rPr>
                <w:rFonts w:ascii="Arial" w:hAnsi="Arial" w:cs="Arial"/>
                <w:b/>
                <w:sz w:val="20"/>
                <w:szCs w:val="20"/>
              </w:rPr>
              <w:t>7037270217</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969"/>
        <w:gridCol w:w="1701"/>
        <w:gridCol w:w="1276"/>
        <w:gridCol w:w="1275"/>
      </w:tblGrid>
      <w:tr w:rsidR="00383C31" w:rsidRPr="00383C31" w:rsidTr="0039776A">
        <w:tc>
          <w:tcPr>
            <w:tcW w:w="694"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UN</w:t>
            </w:r>
          </w:p>
        </w:tc>
        <w:tc>
          <w:tcPr>
            <w:tcW w:w="3969"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ESPECIFICAÇÃO</w:t>
            </w:r>
          </w:p>
        </w:tc>
        <w:tc>
          <w:tcPr>
            <w:tcW w:w="1701"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204B06">
            <w:pPr>
              <w:jc w:val="center"/>
              <w:rPr>
                <w:rFonts w:ascii="Arial" w:hAnsi="Arial" w:cs="Arial"/>
                <w:sz w:val="20"/>
                <w:szCs w:val="20"/>
              </w:rPr>
            </w:pPr>
            <w:r w:rsidRPr="00383C31">
              <w:rPr>
                <w:rFonts w:ascii="Arial" w:hAnsi="Arial" w:cs="Arial"/>
                <w:sz w:val="20"/>
                <w:szCs w:val="20"/>
              </w:rPr>
              <w:t>R$</w:t>
            </w:r>
          </w:p>
        </w:tc>
      </w:tr>
      <w:tr w:rsidR="00383C31" w:rsidRPr="00383C31" w:rsidTr="0039776A">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13</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300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3969" w:type="dxa"/>
            <w:vAlign w:val="center"/>
          </w:tcPr>
          <w:p w:rsidR="00383C31" w:rsidRPr="00383C31" w:rsidRDefault="00383C31" w:rsidP="00204B06">
            <w:pPr>
              <w:pStyle w:val="Default"/>
              <w:jc w:val="both"/>
              <w:rPr>
                <w:rFonts w:ascii="Arial" w:hAnsi="Arial" w:cs="Arial"/>
                <w:color w:val="auto"/>
                <w:sz w:val="20"/>
                <w:szCs w:val="20"/>
              </w:rPr>
            </w:pPr>
            <w:r w:rsidRPr="00383C31">
              <w:rPr>
                <w:rFonts w:ascii="Arial" w:hAnsi="Arial" w:cs="Arial"/>
                <w:b/>
                <w:color w:val="auto"/>
                <w:sz w:val="20"/>
                <w:szCs w:val="20"/>
              </w:rPr>
              <w:t xml:space="preserve">Luvas de segurança </w:t>
            </w:r>
            <w:r w:rsidRPr="00383C31">
              <w:rPr>
                <w:rFonts w:ascii="Arial" w:hAnsi="Arial" w:cs="Arial"/>
                <w:color w:val="auto"/>
                <w:sz w:val="20"/>
                <w:szCs w:val="20"/>
              </w:rPr>
              <w:t xml:space="preserve">– confeccionadas em algodão e poliéster, com revestimento em borracha natural </w:t>
            </w:r>
            <w:r w:rsidRPr="00383C31">
              <w:rPr>
                <w:rFonts w:ascii="Arial" w:hAnsi="Arial" w:cs="Arial"/>
                <w:b/>
                <w:color w:val="auto"/>
                <w:sz w:val="20"/>
                <w:szCs w:val="20"/>
              </w:rPr>
              <w:t>pontilhada</w:t>
            </w:r>
            <w:r w:rsidRPr="00383C31">
              <w:rPr>
                <w:rFonts w:ascii="Arial" w:hAnsi="Arial" w:cs="Arial"/>
                <w:color w:val="auto"/>
                <w:sz w:val="20"/>
                <w:szCs w:val="20"/>
              </w:rPr>
              <w:t xml:space="preserve"> na face palmar, com punho.</w:t>
            </w:r>
          </w:p>
          <w:tbl>
            <w:tblPr>
              <w:tblW w:w="0" w:type="auto"/>
              <w:tblLayout w:type="fixed"/>
              <w:tblLook w:val="04A0"/>
            </w:tblPr>
            <w:tblGrid>
              <w:gridCol w:w="1626"/>
              <w:gridCol w:w="850"/>
            </w:tblGrid>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TAMANHO</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QTDE.</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M</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G</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GG</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bl>
          <w:p w:rsidR="00383C31" w:rsidRPr="00383C31" w:rsidRDefault="00383C31" w:rsidP="00204B06">
            <w:pPr>
              <w:pStyle w:val="Default"/>
              <w:jc w:val="both"/>
              <w:rPr>
                <w:rFonts w:ascii="Arial" w:hAnsi="Arial" w:cs="Arial"/>
                <w:b/>
                <w:color w:val="auto"/>
                <w:sz w:val="20"/>
                <w:szCs w:val="20"/>
              </w:rPr>
            </w:pPr>
          </w:p>
        </w:tc>
        <w:tc>
          <w:tcPr>
            <w:tcW w:w="1701" w:type="dxa"/>
            <w:vAlign w:val="center"/>
          </w:tcPr>
          <w:p w:rsidR="00383C31" w:rsidRPr="00383C31" w:rsidRDefault="0039776A" w:rsidP="00204B06">
            <w:pPr>
              <w:pStyle w:val="Contedodatabela"/>
              <w:snapToGrid w:val="0"/>
              <w:jc w:val="right"/>
              <w:rPr>
                <w:rFonts w:ascii="Arial" w:hAnsi="Arial" w:cs="Arial"/>
                <w:sz w:val="20"/>
                <w:szCs w:val="20"/>
              </w:rPr>
            </w:pPr>
            <w:r>
              <w:rPr>
                <w:rFonts w:ascii="Arial" w:hAnsi="Arial" w:cs="Arial"/>
                <w:sz w:val="20"/>
                <w:szCs w:val="20"/>
              </w:rPr>
              <w:t>EPITEC CA 19435</w:t>
            </w:r>
          </w:p>
        </w:tc>
        <w:tc>
          <w:tcPr>
            <w:tcW w:w="1276" w:type="dxa"/>
            <w:vAlign w:val="center"/>
          </w:tcPr>
          <w:p w:rsidR="00383C31" w:rsidRPr="00383C31" w:rsidRDefault="0039776A" w:rsidP="00204B06">
            <w:pPr>
              <w:snapToGrid w:val="0"/>
              <w:rPr>
                <w:rFonts w:ascii="Arial" w:hAnsi="Arial" w:cs="Arial"/>
                <w:sz w:val="20"/>
                <w:szCs w:val="20"/>
              </w:rPr>
            </w:pPr>
            <w:r>
              <w:rPr>
                <w:rFonts w:ascii="Arial" w:hAnsi="Arial" w:cs="Arial"/>
                <w:sz w:val="20"/>
                <w:szCs w:val="20"/>
              </w:rPr>
              <w:t>1,25</w:t>
            </w:r>
          </w:p>
        </w:tc>
        <w:tc>
          <w:tcPr>
            <w:tcW w:w="1275" w:type="dxa"/>
            <w:vAlign w:val="center"/>
          </w:tcPr>
          <w:p w:rsidR="00383C31" w:rsidRPr="00383C31" w:rsidRDefault="0039776A" w:rsidP="00204B06">
            <w:pPr>
              <w:snapToGrid w:val="0"/>
              <w:jc w:val="right"/>
              <w:rPr>
                <w:rFonts w:ascii="Arial" w:hAnsi="Arial" w:cs="Arial"/>
                <w:sz w:val="20"/>
                <w:szCs w:val="20"/>
              </w:rPr>
            </w:pPr>
            <w:r>
              <w:rPr>
                <w:rFonts w:ascii="Arial" w:hAnsi="Arial" w:cs="Arial"/>
                <w:sz w:val="20"/>
                <w:szCs w:val="20"/>
              </w:rPr>
              <w:t>375,00</w:t>
            </w:r>
          </w:p>
        </w:tc>
      </w:tr>
      <w:tr w:rsidR="00383C31" w:rsidRPr="00383C31" w:rsidTr="0039776A">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18</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3969" w:type="dxa"/>
            <w:vAlign w:val="center"/>
          </w:tcPr>
          <w:p w:rsidR="00383C31" w:rsidRPr="00383C31" w:rsidRDefault="00383C31" w:rsidP="00204B06">
            <w:pPr>
              <w:pStyle w:val="NormalWeb"/>
              <w:shd w:val="clear" w:color="auto" w:fill="FFFFFF"/>
              <w:spacing w:before="0" w:after="0"/>
              <w:jc w:val="both"/>
              <w:rPr>
                <w:rFonts w:ascii="Arial" w:hAnsi="Arial" w:cs="Arial"/>
                <w:sz w:val="20"/>
              </w:rPr>
            </w:pPr>
            <w:r w:rsidRPr="00383C31">
              <w:rPr>
                <w:rStyle w:val="Forte"/>
                <w:rFonts w:ascii="Arial" w:eastAsia="Batang" w:hAnsi="Arial" w:cs="Arial"/>
                <w:sz w:val="20"/>
                <w:shd w:val="clear" w:color="auto" w:fill="FFFFFF"/>
              </w:rPr>
              <w:t xml:space="preserve">Óculos de segurança incolor - </w:t>
            </w:r>
            <w:proofErr w:type="spellStart"/>
            <w:r w:rsidRPr="00383C31">
              <w:rPr>
                <w:rFonts w:ascii="Arial" w:eastAsia="Batang" w:hAnsi="Arial" w:cs="Arial"/>
                <w:sz w:val="20"/>
                <w:shd w:val="clear" w:color="auto" w:fill="FFFFFF"/>
              </w:rPr>
              <w:t>anti-embaçante</w:t>
            </w:r>
            <w:proofErr w:type="spellEnd"/>
            <w:r w:rsidRPr="00383C31">
              <w:rPr>
                <w:rFonts w:ascii="Arial" w:eastAsia="Batang" w:hAnsi="Arial" w:cs="Arial"/>
                <w:sz w:val="20"/>
                <w:shd w:val="clear" w:color="auto" w:fill="FFFFFF"/>
              </w:rPr>
              <w:t xml:space="preserve"> – proteção dos olhos contra impacto de partículas volantes </w:t>
            </w:r>
            <w:proofErr w:type="spellStart"/>
            <w:r w:rsidRPr="00383C31">
              <w:rPr>
                <w:rFonts w:ascii="Arial" w:eastAsia="Batang" w:hAnsi="Arial" w:cs="Arial"/>
                <w:sz w:val="20"/>
                <w:shd w:val="clear" w:color="auto" w:fill="FFFFFF"/>
              </w:rPr>
              <w:t>multidirecionais</w:t>
            </w:r>
            <w:proofErr w:type="spellEnd"/>
            <w:r w:rsidRPr="00383C31">
              <w:rPr>
                <w:rFonts w:ascii="Arial" w:eastAsia="Batang" w:hAnsi="Arial" w:cs="Arial"/>
                <w:sz w:val="20"/>
                <w:shd w:val="clear" w:color="auto" w:fill="FFFFFF"/>
              </w:rPr>
              <w:t xml:space="preserve"> - armação e lente incolor - </w:t>
            </w:r>
            <w:r w:rsidRPr="00383C31">
              <w:rPr>
                <w:rFonts w:ascii="Arial" w:eastAsia="Batang" w:hAnsi="Arial" w:cs="Arial"/>
                <w:sz w:val="20"/>
              </w:rPr>
              <w:t>com Certificado de Aprovação emitido pelo Ministério do Trabalho (CA).</w:t>
            </w:r>
          </w:p>
        </w:tc>
        <w:tc>
          <w:tcPr>
            <w:tcW w:w="1701" w:type="dxa"/>
            <w:vAlign w:val="center"/>
          </w:tcPr>
          <w:p w:rsidR="00383C31" w:rsidRPr="00383C31" w:rsidRDefault="0039776A" w:rsidP="00204B06">
            <w:pPr>
              <w:pStyle w:val="Contedodatabela"/>
              <w:snapToGrid w:val="0"/>
              <w:jc w:val="right"/>
              <w:rPr>
                <w:rFonts w:ascii="Arial" w:hAnsi="Arial" w:cs="Arial"/>
                <w:sz w:val="20"/>
                <w:szCs w:val="20"/>
              </w:rPr>
            </w:pPr>
            <w:r>
              <w:rPr>
                <w:rFonts w:ascii="Arial" w:hAnsi="Arial" w:cs="Arial"/>
                <w:sz w:val="20"/>
                <w:szCs w:val="20"/>
              </w:rPr>
              <w:t>EPITEC CA 16104</w:t>
            </w:r>
          </w:p>
        </w:tc>
        <w:tc>
          <w:tcPr>
            <w:tcW w:w="1276" w:type="dxa"/>
            <w:vAlign w:val="center"/>
          </w:tcPr>
          <w:p w:rsidR="00383C31" w:rsidRPr="00383C31" w:rsidRDefault="0039776A" w:rsidP="00204B06">
            <w:pPr>
              <w:snapToGrid w:val="0"/>
              <w:rPr>
                <w:rFonts w:ascii="Arial" w:hAnsi="Arial" w:cs="Arial"/>
                <w:sz w:val="20"/>
                <w:szCs w:val="20"/>
              </w:rPr>
            </w:pPr>
            <w:r>
              <w:rPr>
                <w:rFonts w:ascii="Arial" w:hAnsi="Arial" w:cs="Arial"/>
                <w:sz w:val="20"/>
                <w:szCs w:val="20"/>
              </w:rPr>
              <w:t>2,80</w:t>
            </w:r>
          </w:p>
        </w:tc>
        <w:tc>
          <w:tcPr>
            <w:tcW w:w="1275" w:type="dxa"/>
            <w:vAlign w:val="center"/>
          </w:tcPr>
          <w:p w:rsidR="00383C31" w:rsidRPr="00383C31" w:rsidRDefault="0039776A" w:rsidP="00204B06">
            <w:pPr>
              <w:snapToGrid w:val="0"/>
              <w:jc w:val="right"/>
              <w:rPr>
                <w:rFonts w:ascii="Arial" w:hAnsi="Arial" w:cs="Arial"/>
                <w:sz w:val="20"/>
                <w:szCs w:val="20"/>
              </w:rPr>
            </w:pPr>
            <w:r>
              <w:rPr>
                <w:rFonts w:ascii="Arial" w:hAnsi="Arial" w:cs="Arial"/>
                <w:sz w:val="20"/>
                <w:szCs w:val="20"/>
              </w:rPr>
              <w:t>1.400,00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rPr>
        <w:t>remanufaturados</w:t>
      </w:r>
      <w:proofErr w:type="spellEnd"/>
      <w:r w:rsidRPr="00383C31">
        <w:rPr>
          <w:rFonts w:cs="Arial"/>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A DETENTORA deverá prestar a garantia mínima do fabricante para os materiais entregues, substituindo os que comprovadamente apresentarem algum defeito. O 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Por ocasião da entrega, a DETENTORA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Os materiais deverão ser entregues acompanhados de manuais ou prospectos contendo </w:t>
      </w:r>
      <w:r w:rsidRPr="00383C31">
        <w:rPr>
          <w:rFonts w:eastAsia="MS Mincho" w:cs="Arial"/>
        </w:rPr>
        <w:t xml:space="preserve">orientações sobre </w:t>
      </w:r>
      <w:r w:rsidRPr="00383C31">
        <w:rPr>
          <w:rFonts w:eastAsia="MS Mincho" w:cs="Arial"/>
        </w:rPr>
        <w:lastRenderedPageBreak/>
        <w:t>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rPr>
      </w:pPr>
      <w:r w:rsidRPr="00383C31">
        <w:rPr>
          <w:rFonts w:cs="Arial"/>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Caso a mercadoria seja recusada ou o documento fiscal apresente incorreção, o prazo de pagamento será 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O pagamento será efetuado por meio de transferência bancária, na conta corrente nº </w:t>
      </w:r>
      <w:r w:rsidR="00B36700">
        <w:rPr>
          <w:rFonts w:ascii="Arial" w:hAnsi="Arial" w:cs="Arial"/>
          <w:sz w:val="20"/>
          <w:szCs w:val="20"/>
        </w:rPr>
        <w:t>01581-5</w:t>
      </w:r>
      <w:r w:rsidRPr="00383C31">
        <w:rPr>
          <w:rFonts w:ascii="Arial" w:hAnsi="Arial" w:cs="Arial"/>
          <w:sz w:val="20"/>
          <w:szCs w:val="20"/>
        </w:rPr>
        <w:t xml:space="preserve">, do Banco </w:t>
      </w:r>
      <w:r w:rsidR="00B36700">
        <w:rPr>
          <w:rFonts w:ascii="Arial" w:hAnsi="Arial" w:cs="Arial"/>
          <w:sz w:val="20"/>
          <w:szCs w:val="20"/>
        </w:rPr>
        <w:t>ITAU, agência nº 8543</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83C31">
          <w:rPr>
            <w:rStyle w:val="Hyperlink"/>
            <w:rFonts w:cs="Arial"/>
          </w:rPr>
          <w:t xml:space="preserve">alínea “d” do inciso II do </w:t>
        </w:r>
        <w:r w:rsidRPr="00383C31">
          <w:rPr>
            <w:rStyle w:val="Hyperlink"/>
            <w:rFonts w:cs="Arial"/>
            <w:bCs w:val="0"/>
          </w:rPr>
          <w:lastRenderedPageBreak/>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registrado tornar-se superior ao preço praticado no mercado por motivo superveniente, o órgão gerenciador convocará os fornecedores para negociarem a redução dos preços aos valores praticados 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Manter, durante a execução do objeto, todas as condições de habilitação previstas no Edital e em 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Pr="000C5EF9" w:rsidRDefault="00383C31" w:rsidP="000C5EF9">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 xml:space="preserve">Nos termos do artigo 7° da Lei 10.520/2002, se a DETENDORA, convocada no prazo estipulado, não celebrar </w:t>
      </w:r>
      <w:r w:rsidRPr="00383C31">
        <w:rPr>
          <w:rFonts w:ascii="Arial" w:hAnsi="Arial" w:cs="Arial"/>
        </w:rPr>
        <w:lastRenderedPageBreak/>
        <w:t>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83C31" w:rsidRPr="00383C31" w:rsidRDefault="00383C31" w:rsidP="00383C31">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383C31" w:rsidRPr="000C5EF9"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Pr="00A974B8"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8" w:anchor="art87iii" w:history="1">
        <w:r w:rsidRPr="00383C31">
          <w:rPr>
            <w:rStyle w:val="Hyperlink"/>
            <w:rFonts w:cs="Arial"/>
          </w:rPr>
          <w:t>inciso III ou IV do caput do art. 87 da Lei nº 8.666/93</w:t>
        </w:r>
      </w:hyperlink>
      <w:r w:rsidRPr="00383C31">
        <w:rPr>
          <w:rFonts w:cs="Arial"/>
        </w:rPr>
        <w:t xml:space="preserve">, ou no </w:t>
      </w:r>
      <w:hyperlink r:id="rId9"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383C31" w:rsidRPr="00A974B8"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5D2401" w:rsidRPr="000C5EF9" w:rsidRDefault="005D2401" w:rsidP="005D2401">
      <w:pPr>
        <w:widowControl w:val="0"/>
        <w:suppressAutoHyphens/>
        <w:spacing w:after="0" w:line="240" w:lineRule="auto"/>
        <w:ind w:left="426"/>
        <w:jc w:val="both"/>
        <w:rPr>
          <w:rFonts w:ascii="Arial" w:hAnsi="Arial" w:cs="Arial"/>
          <w:sz w:val="20"/>
          <w:szCs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D2401" w:rsidRPr="000C5EF9" w:rsidRDefault="005D2401" w:rsidP="005D2401">
      <w:pPr>
        <w:widowControl w:val="0"/>
        <w:suppressAutoHyphens/>
        <w:spacing w:after="0" w:line="240" w:lineRule="auto"/>
        <w:ind w:left="426"/>
        <w:jc w:val="both"/>
        <w:rPr>
          <w:rFonts w:ascii="Arial" w:hAnsi="Arial" w:cs="Arial"/>
          <w:sz w:val="20"/>
          <w:szCs w:val="20"/>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D2401" w:rsidRPr="005D2401" w:rsidRDefault="005D2401" w:rsidP="005D2401">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5D2401" w:rsidRPr="005D2401" w:rsidRDefault="005D2401" w:rsidP="005D2401">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w:t>
      </w:r>
      <w:r w:rsidRPr="00383C31">
        <w:rPr>
          <w:sz w:val="20"/>
          <w:szCs w:val="20"/>
        </w:rPr>
        <w:lastRenderedPageBreak/>
        <w:t>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383C31">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0C5EF9">
      <w:pPr>
        <w:tabs>
          <w:tab w:val="left" w:pos="1134"/>
        </w:tabs>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7566CC"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7566CC"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7318A7" w:rsidP="00383C31">
      <w:pPr>
        <w:tabs>
          <w:tab w:val="left" w:pos="1134"/>
        </w:tabs>
        <w:jc w:val="center"/>
        <w:rPr>
          <w:rFonts w:ascii="Arial" w:hAnsi="Arial" w:cs="Arial"/>
          <w:sz w:val="20"/>
          <w:szCs w:val="20"/>
        </w:rPr>
      </w:pPr>
      <w:r>
        <w:rPr>
          <w:rFonts w:ascii="Arial" w:hAnsi="Arial" w:cs="Arial"/>
          <w:sz w:val="20"/>
          <w:szCs w:val="20"/>
        </w:rPr>
        <w:t>CENCI EQUIPAMENTOS DE SEGURANÇA LTDA-ME</w:t>
      </w:r>
    </w:p>
    <w:p w:rsidR="007318A7" w:rsidRPr="00383C31" w:rsidRDefault="007318A7" w:rsidP="00383C31">
      <w:pPr>
        <w:tabs>
          <w:tab w:val="left" w:pos="1134"/>
        </w:tabs>
        <w:jc w:val="center"/>
        <w:rPr>
          <w:rFonts w:ascii="Arial" w:hAnsi="Arial" w:cs="Arial"/>
          <w:sz w:val="20"/>
          <w:szCs w:val="20"/>
        </w:rPr>
      </w:pPr>
      <w:r>
        <w:rPr>
          <w:rFonts w:ascii="Arial" w:hAnsi="Arial" w:cs="Arial"/>
          <w:sz w:val="20"/>
          <w:szCs w:val="20"/>
        </w:rPr>
        <w:t>RENATO CENCI</w:t>
      </w: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1A53B8" w:rsidRPr="00383C31" w:rsidRDefault="001A53B8">
      <w:pPr>
        <w:rPr>
          <w:rFonts w:ascii="Arial" w:hAnsi="Arial" w:cs="Arial"/>
          <w:sz w:val="20"/>
          <w:szCs w:val="20"/>
        </w:rPr>
      </w:pPr>
    </w:p>
    <w:sectPr w:rsidR="001A53B8" w:rsidRPr="00383C31" w:rsidSect="006D6FA5">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B8" w:rsidRDefault="001A53B8" w:rsidP="001A53B8">
      <w:pPr>
        <w:spacing w:after="0" w:line="240" w:lineRule="auto"/>
      </w:pPr>
      <w:r>
        <w:separator/>
      </w:r>
    </w:p>
  </w:endnote>
  <w:endnote w:type="continuationSeparator" w:id="1">
    <w:p w:rsidR="001A53B8" w:rsidRDefault="001A53B8" w:rsidP="001A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C748BA">
    <w:pPr>
      <w:pStyle w:val="Rodap"/>
      <w:ind w:right="360"/>
      <w:rPr>
        <w:sz w:val="16"/>
      </w:rPr>
    </w:pPr>
    <w:r w:rsidRPr="00C748BA">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A81B17" w:rsidRDefault="00C748BA">
                <w:pPr>
                  <w:pStyle w:val="Rodap"/>
                </w:pPr>
                <w:r>
                  <w:rPr>
                    <w:rStyle w:val="Nmerodepgina"/>
                  </w:rPr>
                  <w:fldChar w:fldCharType="begin"/>
                </w:r>
                <w:r w:rsidR="00C704DC">
                  <w:rPr>
                    <w:rStyle w:val="Nmerodepgina"/>
                  </w:rPr>
                  <w:instrText xml:space="preserve"> PAGE </w:instrText>
                </w:r>
                <w:r>
                  <w:rPr>
                    <w:rStyle w:val="Nmerodepgina"/>
                  </w:rPr>
                  <w:fldChar w:fldCharType="separate"/>
                </w:r>
                <w:r w:rsidR="005D2401">
                  <w:rPr>
                    <w:rStyle w:val="Nmerodepgina"/>
                    <w:noProof/>
                  </w:rPr>
                  <w:t>5</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B8" w:rsidRDefault="001A53B8" w:rsidP="001A53B8">
      <w:pPr>
        <w:spacing w:after="0" w:line="240" w:lineRule="auto"/>
      </w:pPr>
      <w:r>
        <w:separator/>
      </w:r>
    </w:p>
  </w:footnote>
  <w:footnote w:type="continuationSeparator" w:id="1">
    <w:p w:rsidR="001A53B8" w:rsidRDefault="001A53B8" w:rsidP="001A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C748BA" w:rsidP="00697CEA">
    <w:pPr>
      <w:rPr>
        <w:b/>
        <w:sz w:val="20"/>
      </w:rPr>
    </w:pPr>
    <w:r w:rsidRPr="00C748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sidR="00C704DC">
      <w:rPr>
        <w:b/>
        <w:sz w:val="20"/>
      </w:rPr>
      <w:t xml:space="preserve">                          </w:t>
    </w:r>
  </w:p>
  <w:p w:rsidR="00A81B17" w:rsidRPr="008145C8" w:rsidRDefault="00C704DC" w:rsidP="00697CEA">
    <w:pPr>
      <w:rPr>
        <w:sz w:val="20"/>
      </w:rPr>
    </w:pPr>
    <w:r w:rsidRPr="008145C8">
      <w:rPr>
        <w:sz w:val="20"/>
      </w:rPr>
      <w:t xml:space="preserve">                  ESTADO DE SANTA CATARINA</w:t>
    </w:r>
  </w:p>
  <w:p w:rsidR="00A81B17" w:rsidRDefault="00C704DC" w:rsidP="00697CEA">
    <w:pPr>
      <w:pStyle w:val="Cabealho"/>
      <w:rPr>
        <w:rFonts w:ascii="Arial" w:hAnsi="Arial" w:cs="Arial"/>
        <w:sz w:val="20"/>
      </w:rPr>
    </w:pPr>
    <w:r>
      <w:rPr>
        <w:rFonts w:ascii="Arial" w:hAnsi="Arial" w:cs="Arial"/>
        <w:sz w:val="20"/>
      </w:rPr>
      <w:t xml:space="preserve">                  MUNICÍPIO DE JOAÇABA</w:t>
    </w:r>
  </w:p>
  <w:p w:rsidR="00A81B17" w:rsidRDefault="005D2401" w:rsidP="00697CEA">
    <w:pPr>
      <w:pStyle w:val="Cabealho"/>
      <w:rPr>
        <w:rFonts w:ascii="Arial" w:hAnsi="Arial" w:cs="Arial"/>
        <w:sz w:val="20"/>
      </w:rPr>
    </w:pPr>
  </w:p>
  <w:p w:rsidR="00A81B17" w:rsidRDefault="005D2401" w:rsidP="00697CEA">
    <w:pPr>
      <w:pStyle w:val="Cabealho"/>
      <w:rPr>
        <w:rFonts w:ascii="Arial" w:hAnsi="Arial" w:cs="Arial"/>
        <w:sz w:val="20"/>
      </w:rPr>
    </w:pPr>
  </w:p>
  <w:p w:rsidR="00A81B17" w:rsidRDefault="00C704DC">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83C31"/>
    <w:rsid w:val="000C5EF9"/>
    <w:rsid w:val="001A01F6"/>
    <w:rsid w:val="001A53B8"/>
    <w:rsid w:val="00383C31"/>
    <w:rsid w:val="00392F8D"/>
    <w:rsid w:val="0039776A"/>
    <w:rsid w:val="00423CC2"/>
    <w:rsid w:val="005D2401"/>
    <w:rsid w:val="007318A7"/>
    <w:rsid w:val="007566CC"/>
    <w:rsid w:val="00985B0B"/>
    <w:rsid w:val="00A974B8"/>
    <w:rsid w:val="00B36700"/>
    <w:rsid w:val="00C704DC"/>
    <w:rsid w:val="00C748BA"/>
    <w:rsid w:val="00DB3229"/>
    <w:rsid w:val="00E80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B8"/>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2488</Words>
  <Characters>13439</Characters>
  <Application>Microsoft Office Word</Application>
  <DocSecurity>0</DocSecurity>
  <Lines>111</Lines>
  <Paragraphs>31</Paragraphs>
  <ScaleCrop>false</ScaleCrop>
  <Company>PMJ</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2017-09-15T20:29:00Z</dcterms:created>
  <dcterms:modified xsi:type="dcterms:W3CDTF">2017-09-15T20:37:00Z</dcterms:modified>
</cp:coreProperties>
</file>