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195550">
        <w:rPr>
          <w:rFonts w:ascii="Arial" w:hAnsi="Arial" w:cs="Arial"/>
          <w:b/>
          <w:sz w:val="20"/>
          <w:szCs w:val="20"/>
        </w:rPr>
        <w:t>04</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9902E1">
        <w:tc>
          <w:tcPr>
            <w:tcW w:w="402" w:type="dxa"/>
            <w:vMerge w:val="restart"/>
            <w:vAlign w:val="center"/>
          </w:tcPr>
          <w:p w:rsidR="00E31344" w:rsidRPr="00E31344" w:rsidRDefault="00E31344" w:rsidP="009902E1">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proofErr w:type="gramStart"/>
            <w:r>
              <w:rPr>
                <w:rFonts w:ascii="Arial" w:hAnsi="Arial" w:cs="Arial"/>
                <w:b/>
                <w:sz w:val="20"/>
                <w:szCs w:val="20"/>
              </w:rPr>
              <w:t>PNEUS COMERCIO</w:t>
            </w:r>
            <w:proofErr w:type="gramEnd"/>
            <w:r>
              <w:rPr>
                <w:rFonts w:ascii="Arial" w:hAnsi="Arial" w:cs="Arial"/>
                <w:b/>
                <w:sz w:val="20"/>
                <w:szCs w:val="20"/>
              </w:rPr>
              <w:t xml:space="preserve"> DE PNEUS LTDA</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AV. MARGINAL PARAGUAI, 469 – FONE 41-3333-4322</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06.880.642/0001-09 – COLOMBO/PR</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p>
        </w:tc>
        <w:tc>
          <w:tcPr>
            <w:tcW w:w="6984" w:type="dxa"/>
            <w:vAlign w:val="center"/>
          </w:tcPr>
          <w:p w:rsidR="00E31344" w:rsidRPr="00E31344" w:rsidRDefault="00E31344" w:rsidP="009902E1">
            <w:pPr>
              <w:autoSpaceDE w:val="0"/>
              <w:autoSpaceDN w:val="0"/>
              <w:adjustRightInd w:val="0"/>
              <w:rPr>
                <w:rFonts w:ascii="Arial" w:hAnsi="Arial" w:cs="Arial"/>
                <w:b/>
                <w:sz w:val="20"/>
                <w:szCs w:val="20"/>
              </w:rPr>
            </w:pP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EDUARDO HENRIQUE SENFF</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CURITIBA/PR</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033.061.289-10</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195550" w:rsidP="009902E1">
            <w:pPr>
              <w:autoSpaceDE w:val="0"/>
              <w:autoSpaceDN w:val="0"/>
              <w:adjustRightInd w:val="0"/>
              <w:rPr>
                <w:rFonts w:ascii="Arial" w:hAnsi="Arial" w:cs="Arial"/>
                <w:b/>
                <w:sz w:val="20"/>
                <w:szCs w:val="20"/>
              </w:rPr>
            </w:pPr>
            <w:r>
              <w:rPr>
                <w:rFonts w:ascii="Arial" w:hAnsi="Arial" w:cs="Arial"/>
                <w:b/>
                <w:sz w:val="20"/>
                <w:szCs w:val="20"/>
              </w:rPr>
              <w:t>7.619.679-2</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lastRenderedPageBreak/>
              <w:t>ITEM</w:t>
            </w:r>
          </w:p>
        </w:tc>
        <w:tc>
          <w:tcPr>
            <w:tcW w:w="832"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QTDE</w:t>
            </w:r>
          </w:p>
        </w:tc>
        <w:tc>
          <w:tcPr>
            <w:tcW w:w="567"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ESPECIFICAÇÃO</w:t>
            </w:r>
          </w:p>
        </w:tc>
        <w:tc>
          <w:tcPr>
            <w:tcW w:w="1701"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MARCA</w:t>
            </w:r>
          </w:p>
        </w:tc>
        <w:tc>
          <w:tcPr>
            <w:tcW w:w="1418"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VALOR UNITÁRIO PROPOSTO R$</w:t>
            </w:r>
          </w:p>
        </w:tc>
        <w:tc>
          <w:tcPr>
            <w:tcW w:w="1701"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VALOR TOTAL PROPOSTO R$</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10</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08</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CJ</w:t>
            </w:r>
          </w:p>
        </w:tc>
        <w:tc>
          <w:tcPr>
            <w:tcW w:w="3118" w:type="dxa"/>
            <w:vAlign w:val="center"/>
          </w:tcPr>
          <w:p w:rsidR="006E6502" w:rsidRPr="007459EF" w:rsidRDefault="006E6502" w:rsidP="009902E1">
            <w:pPr>
              <w:rPr>
                <w:rFonts w:ascii="Arial" w:hAnsi="Arial" w:cs="Arial"/>
                <w:sz w:val="20"/>
                <w:szCs w:val="20"/>
              </w:rPr>
            </w:pPr>
            <w:r w:rsidRPr="007459EF">
              <w:rPr>
                <w:rFonts w:ascii="Arial" w:hAnsi="Arial" w:cs="Arial"/>
                <w:sz w:val="20"/>
                <w:szCs w:val="20"/>
              </w:rPr>
              <w:t xml:space="preserve">Pneu 18.4x30 – 12 lonas - </w:t>
            </w:r>
            <w:r w:rsidRPr="007459EF">
              <w:rPr>
                <w:rFonts w:ascii="Arial" w:hAnsi="Arial" w:cs="Arial"/>
                <w:b/>
                <w:sz w:val="20"/>
                <w:szCs w:val="20"/>
              </w:rPr>
              <w:t>1ª linha</w:t>
            </w:r>
            <w:r w:rsidRPr="007459EF">
              <w:rPr>
                <w:rFonts w:ascii="Arial" w:hAnsi="Arial" w:cs="Arial"/>
                <w:sz w:val="20"/>
                <w:szCs w:val="20"/>
              </w:rPr>
              <w:t xml:space="preserve"> - com câmara de ar</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GOODYEAR</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2.715,00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21.720,00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21</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08</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vAlign w:val="center"/>
          </w:tcPr>
          <w:p w:rsidR="006E6502" w:rsidRPr="007459EF" w:rsidRDefault="006E6502" w:rsidP="009902E1">
            <w:pPr>
              <w:rPr>
                <w:rFonts w:ascii="Arial" w:hAnsi="Arial" w:cs="Arial"/>
                <w:sz w:val="20"/>
                <w:szCs w:val="20"/>
              </w:rPr>
            </w:pPr>
            <w:r w:rsidRPr="007459EF">
              <w:rPr>
                <w:rFonts w:ascii="Arial" w:hAnsi="Arial" w:cs="Arial"/>
                <w:sz w:val="20"/>
                <w:szCs w:val="20"/>
              </w:rPr>
              <w:t xml:space="preserve">Pneu 205/55x16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GOODYEAR</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300,00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2.400,00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22</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08</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vAlign w:val="center"/>
          </w:tcPr>
          <w:p w:rsidR="006E6502" w:rsidRPr="007459EF" w:rsidRDefault="006E6502" w:rsidP="009902E1">
            <w:pPr>
              <w:rPr>
                <w:rFonts w:ascii="Arial" w:hAnsi="Arial" w:cs="Arial"/>
                <w:sz w:val="20"/>
                <w:szCs w:val="20"/>
              </w:rPr>
            </w:pPr>
            <w:r w:rsidRPr="007459EF">
              <w:rPr>
                <w:rFonts w:ascii="Arial" w:hAnsi="Arial" w:cs="Arial"/>
                <w:sz w:val="20"/>
                <w:szCs w:val="20"/>
              </w:rPr>
              <w:t xml:space="preserve">Pneu 205/55x17 –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DUNLOP</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860,00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6.880,00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24</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56</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 xml:space="preserve">Pneu 205/75x16 –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FALKEN</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429,00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24.024,00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26</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10</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 xml:space="preserve">Pneu 215/70x16 –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GOODYEAR</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545,00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5.450,00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27</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10</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 xml:space="preserve">Pneu 215/75x16 –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FALKEN</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495,00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4.950,00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29</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32</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vAlign w:val="center"/>
          </w:tcPr>
          <w:p w:rsidR="006E6502" w:rsidRPr="007459EF" w:rsidRDefault="006E6502" w:rsidP="009902E1">
            <w:pPr>
              <w:rPr>
                <w:rFonts w:ascii="Arial" w:hAnsi="Arial" w:cs="Arial"/>
                <w:sz w:val="20"/>
                <w:szCs w:val="20"/>
              </w:rPr>
            </w:pPr>
            <w:r w:rsidRPr="007459EF">
              <w:rPr>
                <w:rFonts w:ascii="Arial" w:hAnsi="Arial" w:cs="Arial"/>
                <w:sz w:val="20"/>
                <w:szCs w:val="20"/>
              </w:rPr>
              <w:t xml:space="preserve">Pneu 225/65x16 – radial - </w:t>
            </w:r>
            <w:r w:rsidRPr="007459EF">
              <w:rPr>
                <w:rFonts w:ascii="Arial" w:hAnsi="Arial" w:cs="Arial"/>
                <w:b/>
                <w:sz w:val="20"/>
                <w:szCs w:val="20"/>
              </w:rPr>
              <w:t>1ª linha</w:t>
            </w:r>
          </w:p>
        </w:tc>
        <w:tc>
          <w:tcPr>
            <w:tcW w:w="1701" w:type="dxa"/>
            <w:vAlign w:val="center"/>
          </w:tcPr>
          <w:p w:rsidR="006E6502" w:rsidRPr="007459EF" w:rsidRDefault="00EF78AD" w:rsidP="009902E1">
            <w:pPr>
              <w:rPr>
                <w:rFonts w:ascii="Arial" w:hAnsi="Arial" w:cs="Arial"/>
                <w:b/>
                <w:sz w:val="20"/>
                <w:szCs w:val="20"/>
              </w:rPr>
            </w:pPr>
            <w:r>
              <w:rPr>
                <w:rFonts w:ascii="Arial" w:hAnsi="Arial" w:cs="Arial"/>
                <w:b/>
                <w:sz w:val="20"/>
                <w:szCs w:val="20"/>
              </w:rPr>
              <w:t>GOODYEAR</w:t>
            </w:r>
          </w:p>
        </w:tc>
        <w:tc>
          <w:tcPr>
            <w:tcW w:w="1418"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600,00</w:t>
            </w:r>
          </w:p>
        </w:tc>
        <w:tc>
          <w:tcPr>
            <w:tcW w:w="1701" w:type="dxa"/>
            <w:vAlign w:val="center"/>
          </w:tcPr>
          <w:p w:rsidR="006E6502" w:rsidRPr="007459EF" w:rsidRDefault="00EF78AD" w:rsidP="009902E1">
            <w:pPr>
              <w:jc w:val="right"/>
              <w:rPr>
                <w:rFonts w:ascii="Arial" w:hAnsi="Arial" w:cs="Arial"/>
                <w:b/>
                <w:sz w:val="20"/>
                <w:szCs w:val="20"/>
              </w:rPr>
            </w:pPr>
            <w:r>
              <w:rPr>
                <w:rFonts w:ascii="Arial" w:hAnsi="Arial" w:cs="Arial"/>
                <w:b/>
                <w:sz w:val="20"/>
                <w:szCs w:val="20"/>
              </w:rPr>
              <w:t>19.200,00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35</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12</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 xml:space="preserve">Pneu 175/80x14 – radial - </w:t>
            </w:r>
            <w:r w:rsidRPr="007459EF">
              <w:rPr>
                <w:rFonts w:ascii="Arial" w:hAnsi="Arial" w:cs="Arial"/>
                <w:b/>
                <w:sz w:val="20"/>
                <w:szCs w:val="20"/>
              </w:rPr>
              <w:t>1ª linha</w:t>
            </w:r>
          </w:p>
        </w:tc>
        <w:tc>
          <w:tcPr>
            <w:tcW w:w="1701" w:type="dxa"/>
            <w:vAlign w:val="center"/>
          </w:tcPr>
          <w:p w:rsidR="006E6502" w:rsidRPr="007459EF" w:rsidRDefault="00CA3B1B" w:rsidP="009902E1">
            <w:pPr>
              <w:rPr>
                <w:rFonts w:ascii="Arial" w:hAnsi="Arial" w:cs="Arial"/>
                <w:b/>
                <w:sz w:val="20"/>
                <w:szCs w:val="20"/>
              </w:rPr>
            </w:pPr>
            <w:r>
              <w:rPr>
                <w:rFonts w:ascii="Arial" w:hAnsi="Arial" w:cs="Arial"/>
                <w:b/>
                <w:sz w:val="20"/>
                <w:szCs w:val="20"/>
              </w:rPr>
              <w:t>GOODYEAR</w:t>
            </w:r>
          </w:p>
        </w:tc>
        <w:tc>
          <w:tcPr>
            <w:tcW w:w="1418" w:type="dxa"/>
            <w:vAlign w:val="center"/>
          </w:tcPr>
          <w:p w:rsidR="006E6502" w:rsidRPr="007459EF" w:rsidRDefault="00CA3B1B" w:rsidP="009902E1">
            <w:pPr>
              <w:jc w:val="right"/>
              <w:rPr>
                <w:rFonts w:ascii="Arial" w:hAnsi="Arial" w:cs="Arial"/>
                <w:b/>
                <w:sz w:val="20"/>
                <w:szCs w:val="20"/>
              </w:rPr>
            </w:pPr>
            <w:r>
              <w:rPr>
                <w:rFonts w:ascii="Arial" w:hAnsi="Arial" w:cs="Arial"/>
                <w:b/>
                <w:sz w:val="20"/>
                <w:szCs w:val="20"/>
              </w:rPr>
              <w:t>290,00</w:t>
            </w:r>
          </w:p>
        </w:tc>
        <w:tc>
          <w:tcPr>
            <w:tcW w:w="1701" w:type="dxa"/>
            <w:vAlign w:val="center"/>
          </w:tcPr>
          <w:p w:rsidR="006E6502" w:rsidRPr="007459EF" w:rsidRDefault="00CA3B1B" w:rsidP="009902E1">
            <w:pPr>
              <w:jc w:val="right"/>
              <w:rPr>
                <w:rFonts w:ascii="Arial" w:hAnsi="Arial" w:cs="Arial"/>
                <w:b/>
                <w:sz w:val="20"/>
                <w:szCs w:val="20"/>
              </w:rPr>
            </w:pPr>
            <w:r>
              <w:rPr>
                <w:rFonts w:ascii="Arial" w:hAnsi="Arial" w:cs="Arial"/>
                <w:b/>
                <w:sz w:val="20"/>
                <w:szCs w:val="20"/>
              </w:rPr>
              <w:t>3.480,00</w:t>
            </w:r>
          </w:p>
        </w:tc>
      </w:tr>
      <w:tr w:rsidR="006E6502" w:rsidRPr="00A41239" w:rsidTr="006E6502">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37</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34</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3118"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 xml:space="preserve">Pneu 185/65x15 – radial - </w:t>
            </w:r>
            <w:r w:rsidRPr="007459EF">
              <w:rPr>
                <w:rFonts w:ascii="Arial" w:hAnsi="Arial" w:cs="Arial"/>
                <w:b/>
                <w:sz w:val="20"/>
                <w:szCs w:val="20"/>
              </w:rPr>
              <w:t>1ª linha</w:t>
            </w:r>
          </w:p>
        </w:tc>
        <w:tc>
          <w:tcPr>
            <w:tcW w:w="1701" w:type="dxa"/>
            <w:vAlign w:val="center"/>
          </w:tcPr>
          <w:p w:rsidR="006E6502" w:rsidRPr="007459EF" w:rsidRDefault="00CA3B1B" w:rsidP="009902E1">
            <w:pPr>
              <w:rPr>
                <w:rFonts w:ascii="Arial" w:hAnsi="Arial" w:cs="Arial"/>
                <w:b/>
                <w:sz w:val="20"/>
                <w:szCs w:val="20"/>
              </w:rPr>
            </w:pPr>
            <w:r>
              <w:rPr>
                <w:rFonts w:ascii="Arial" w:hAnsi="Arial" w:cs="Arial"/>
                <w:b/>
                <w:sz w:val="20"/>
                <w:szCs w:val="20"/>
              </w:rPr>
              <w:t>DUNLOP</w:t>
            </w:r>
          </w:p>
        </w:tc>
        <w:tc>
          <w:tcPr>
            <w:tcW w:w="1418" w:type="dxa"/>
            <w:vAlign w:val="center"/>
          </w:tcPr>
          <w:p w:rsidR="006E6502" w:rsidRPr="007459EF" w:rsidRDefault="00CA3B1B" w:rsidP="009902E1">
            <w:pPr>
              <w:jc w:val="right"/>
              <w:rPr>
                <w:rFonts w:ascii="Arial" w:hAnsi="Arial" w:cs="Arial"/>
                <w:b/>
                <w:sz w:val="20"/>
                <w:szCs w:val="20"/>
              </w:rPr>
            </w:pPr>
            <w:r>
              <w:rPr>
                <w:rFonts w:ascii="Arial" w:hAnsi="Arial" w:cs="Arial"/>
                <w:b/>
                <w:sz w:val="20"/>
                <w:szCs w:val="20"/>
              </w:rPr>
              <w:t>290,00</w:t>
            </w:r>
          </w:p>
        </w:tc>
        <w:tc>
          <w:tcPr>
            <w:tcW w:w="1701" w:type="dxa"/>
            <w:vAlign w:val="center"/>
          </w:tcPr>
          <w:p w:rsidR="006E6502" w:rsidRPr="007459EF" w:rsidRDefault="00CA3B1B" w:rsidP="009902E1">
            <w:pPr>
              <w:jc w:val="right"/>
              <w:rPr>
                <w:rFonts w:ascii="Arial" w:hAnsi="Arial" w:cs="Arial"/>
                <w:b/>
                <w:sz w:val="20"/>
                <w:szCs w:val="20"/>
              </w:rPr>
            </w:pPr>
            <w:r>
              <w:rPr>
                <w:rFonts w:ascii="Arial" w:hAnsi="Arial" w:cs="Arial"/>
                <w:b/>
                <w:sz w:val="20"/>
                <w:szCs w:val="20"/>
              </w:rPr>
              <w:t>9.860,00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Corpodetexto"/>
        <w:widowControl/>
        <w:tabs>
          <w:tab w:val="clear" w:pos="708"/>
          <w:tab w:val="clear" w:pos="2270"/>
          <w:tab w:val="clear" w:pos="4294"/>
        </w:tabs>
        <w:ind w:left="567"/>
        <w:rPr>
          <w:rFonts w:cs="Arial"/>
          <w:sz w:val="20"/>
        </w:rPr>
      </w:pP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D91024" w:rsidRDefault="00E31344" w:rsidP="00D91024">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D91024" w:rsidRDefault="00E31344" w:rsidP="00D91024">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D91024" w:rsidRDefault="00E31344" w:rsidP="00D91024">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D91024" w:rsidRDefault="00E31344" w:rsidP="00D9102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D91024"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AA5625">
        <w:rPr>
          <w:rFonts w:cs="Arial"/>
          <w:sz w:val="20"/>
        </w:rPr>
        <w:t xml:space="preserve"> Banco do Brasil, </w:t>
      </w:r>
      <w:proofErr w:type="spellStart"/>
      <w:r w:rsidR="00AA5625">
        <w:rPr>
          <w:rFonts w:cs="Arial"/>
          <w:sz w:val="20"/>
        </w:rPr>
        <w:t>Ag</w:t>
      </w:r>
      <w:proofErr w:type="spellEnd"/>
      <w:r w:rsidR="00AA5625">
        <w:rPr>
          <w:rFonts w:cs="Arial"/>
          <w:sz w:val="20"/>
        </w:rPr>
        <w:t>.  1622-5, c/c 19.757-2.</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lastRenderedPageBreak/>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D91024" w:rsidRDefault="00E31344" w:rsidP="00D9102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D91024" w:rsidRDefault="00E31344" w:rsidP="00D9102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D9102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licitatório.</w:t>
      </w:r>
    </w:p>
    <w:p w:rsidR="00E31344" w:rsidRPr="00D91024" w:rsidRDefault="00E31344" w:rsidP="00D9102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D9102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E31344">
        <w:rPr>
          <w:rFonts w:cs="Arial"/>
          <w:sz w:val="20"/>
        </w:rPr>
        <w:t>a</w:t>
      </w:r>
      <w:proofErr w:type="gramEnd"/>
      <w:r w:rsidRPr="00E31344">
        <w:rPr>
          <w:rFonts w:cs="Arial"/>
          <w:sz w:val="20"/>
        </w:rPr>
        <w:t xml:space="preserve">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pelos custos inerentes a encargos tributários, sociais, fiscais, trabalhistas, 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D91024" w:rsidRDefault="00E31344" w:rsidP="00D9102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lastRenderedPageBreak/>
        <w:t>Responsabilizar-se pelo envio e frete das mercadorias.</w:t>
      </w:r>
    </w:p>
    <w:p w:rsidR="00E31344" w:rsidRPr="00D91024"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D91024" w:rsidRDefault="00E31344" w:rsidP="00D9102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D91024" w:rsidRDefault="00E31344" w:rsidP="00D9102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D91024" w:rsidRDefault="00E31344" w:rsidP="00D91024">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lastRenderedPageBreak/>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D91024" w:rsidRDefault="00E31344" w:rsidP="00D91024">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D91024" w:rsidRDefault="00E31344" w:rsidP="00D91024">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2213" w:rsidRPr="00E31344" w:rsidRDefault="00252213" w:rsidP="00E31344">
      <w:pPr>
        <w:tabs>
          <w:tab w:val="left" w:pos="1134"/>
        </w:tabs>
        <w:jc w:val="both"/>
        <w:rPr>
          <w:rFonts w:ascii="Arial" w:hAnsi="Arial" w:cs="Arial"/>
          <w:sz w:val="20"/>
          <w:szCs w:val="20"/>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Default="00E31344" w:rsidP="00D9102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D91024" w:rsidRPr="00E31344" w:rsidRDefault="00D91024" w:rsidP="00D91024">
      <w:pPr>
        <w:pStyle w:val="Corpodetexto21"/>
        <w:tabs>
          <w:tab w:val="left" w:pos="0"/>
        </w:tabs>
        <w:rPr>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766EB6" w:rsidP="00E31344">
      <w:pPr>
        <w:tabs>
          <w:tab w:val="left" w:pos="1134"/>
        </w:tabs>
        <w:jc w:val="center"/>
        <w:rPr>
          <w:rFonts w:ascii="Arial" w:hAnsi="Arial" w:cs="Arial"/>
          <w:sz w:val="20"/>
          <w:szCs w:val="20"/>
        </w:rPr>
      </w:pPr>
      <w:proofErr w:type="gramStart"/>
      <w:r>
        <w:rPr>
          <w:rFonts w:ascii="Arial" w:hAnsi="Arial" w:cs="Arial"/>
          <w:sz w:val="20"/>
          <w:szCs w:val="20"/>
        </w:rPr>
        <w:t>PNEUS COMERCIO</w:t>
      </w:r>
      <w:proofErr w:type="gramEnd"/>
      <w:r>
        <w:rPr>
          <w:rFonts w:ascii="Arial" w:hAnsi="Arial" w:cs="Arial"/>
          <w:sz w:val="20"/>
          <w:szCs w:val="20"/>
        </w:rPr>
        <w:t xml:space="preserve"> DE PNEUS LTDA</w:t>
      </w:r>
    </w:p>
    <w:p w:rsidR="00766EB6" w:rsidRPr="00766EB6" w:rsidRDefault="00766EB6" w:rsidP="00E31344">
      <w:pPr>
        <w:tabs>
          <w:tab w:val="left" w:pos="1134"/>
        </w:tabs>
        <w:jc w:val="center"/>
        <w:rPr>
          <w:rFonts w:ascii="Arial" w:hAnsi="Arial" w:cs="Arial"/>
          <w:sz w:val="20"/>
          <w:szCs w:val="20"/>
        </w:rPr>
      </w:pPr>
      <w:r w:rsidRPr="00766EB6">
        <w:rPr>
          <w:rFonts w:ascii="Arial" w:hAnsi="Arial" w:cs="Arial"/>
          <w:sz w:val="20"/>
          <w:szCs w:val="20"/>
        </w:rPr>
        <w:t>EDUARDO HENRIQUE SENFF</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D91024">
      <w:pPr>
        <w:tabs>
          <w:tab w:val="left" w:pos="28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p w:rsidR="003444EB" w:rsidRDefault="003444EB"/>
    <w:sectPr w:rsidR="003444EB" w:rsidSect="00434E5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EB" w:rsidRDefault="003444EB" w:rsidP="003444EB">
      <w:pPr>
        <w:spacing w:after="0" w:line="240" w:lineRule="auto"/>
      </w:pPr>
      <w:r>
        <w:separator/>
      </w:r>
    </w:p>
  </w:endnote>
  <w:endnote w:type="continuationSeparator" w:id="1">
    <w:p w:rsidR="003444EB" w:rsidRDefault="003444EB"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F8" w:rsidRDefault="00656351">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3C67F8" w:rsidRDefault="00656351">
                <w:pPr>
                  <w:pStyle w:val="Rodap"/>
                </w:pPr>
                <w:r>
                  <w:rPr>
                    <w:rStyle w:val="Nmerodepgina"/>
                  </w:rPr>
                  <w:fldChar w:fldCharType="begin"/>
                </w:r>
                <w:r w:rsidR="00081B8C">
                  <w:rPr>
                    <w:rStyle w:val="Nmerodepgina"/>
                  </w:rPr>
                  <w:instrText xml:space="preserve"> PAGE </w:instrText>
                </w:r>
                <w:r>
                  <w:rPr>
                    <w:rStyle w:val="Nmerodepgina"/>
                  </w:rPr>
                  <w:fldChar w:fldCharType="separate"/>
                </w:r>
                <w:r w:rsidR="00D91024">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EB" w:rsidRDefault="003444EB" w:rsidP="003444EB">
      <w:pPr>
        <w:spacing w:after="0" w:line="240" w:lineRule="auto"/>
      </w:pPr>
      <w:r>
        <w:separator/>
      </w:r>
    </w:p>
  </w:footnote>
  <w:footnote w:type="continuationSeparator" w:id="1">
    <w:p w:rsidR="003444EB" w:rsidRDefault="003444EB"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F8" w:rsidRPr="00434E5B" w:rsidRDefault="00656351" w:rsidP="004A3D52">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081B8C" w:rsidRPr="00434E5B">
      <w:rPr>
        <w:sz w:val="20"/>
      </w:rPr>
      <w:t>Estado de Santa Catarina</w:t>
    </w:r>
  </w:p>
  <w:p w:rsidR="003C67F8" w:rsidRPr="00434E5B" w:rsidRDefault="00081B8C" w:rsidP="004A3D52">
    <w:pPr>
      <w:ind w:left="993"/>
      <w:rPr>
        <w:b/>
        <w:sz w:val="20"/>
      </w:rPr>
    </w:pPr>
    <w:r w:rsidRPr="00434E5B">
      <w:rPr>
        <w:b/>
        <w:sz w:val="20"/>
      </w:rPr>
      <w:t>MUNICÍPIO DE JOAÇABA</w:t>
    </w:r>
  </w:p>
  <w:p w:rsidR="003C67F8" w:rsidRPr="008354FE" w:rsidRDefault="00D91024" w:rsidP="004A3D52">
    <w:pPr>
      <w:ind w:left="993"/>
    </w:pPr>
  </w:p>
  <w:p w:rsidR="003C67F8" w:rsidRDefault="00D91024" w:rsidP="004A3D52">
    <w:pPr>
      <w:ind w:left="993"/>
      <w:rPr>
        <w:sz w:val="20"/>
      </w:rPr>
    </w:pPr>
  </w:p>
  <w:p w:rsidR="003C67F8" w:rsidRDefault="00D91024" w:rsidP="004A3D52">
    <w:pPr>
      <w:ind w:left="993"/>
      <w:rPr>
        <w:sz w:val="20"/>
      </w:rPr>
    </w:pPr>
  </w:p>
  <w:p w:rsidR="003C67F8" w:rsidRPr="000F6032" w:rsidRDefault="00D91024"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F17F4"/>
    <w:rsid w:val="00195550"/>
    <w:rsid w:val="00252213"/>
    <w:rsid w:val="003444EB"/>
    <w:rsid w:val="00656351"/>
    <w:rsid w:val="006E6502"/>
    <w:rsid w:val="007459EF"/>
    <w:rsid w:val="007570B0"/>
    <w:rsid w:val="00766EB6"/>
    <w:rsid w:val="00AA5625"/>
    <w:rsid w:val="00CA3B1B"/>
    <w:rsid w:val="00D91024"/>
    <w:rsid w:val="00E31344"/>
    <w:rsid w:val="00EF78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2466</Words>
  <Characters>13322</Characters>
  <Application>Microsoft Office Word</Application>
  <DocSecurity>0</DocSecurity>
  <Lines>111</Lines>
  <Paragraphs>31</Paragraphs>
  <ScaleCrop>false</ScaleCrop>
  <Company>PMJ</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2017-09-14T18:41:00Z</dcterms:created>
  <dcterms:modified xsi:type="dcterms:W3CDTF">2017-09-14T18:53:00Z</dcterms:modified>
</cp:coreProperties>
</file>