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AD50C9">
        <w:rPr>
          <w:rFonts w:ascii="Arial" w:hAnsi="Arial" w:cs="Arial"/>
          <w:b/>
          <w:sz w:val="18"/>
          <w:szCs w:val="18"/>
        </w:rPr>
        <w:t>/2017/FMS/05</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3E7651">
        <w:tc>
          <w:tcPr>
            <w:tcW w:w="402" w:type="dxa"/>
            <w:vMerge w:val="restart"/>
            <w:vAlign w:val="center"/>
          </w:tcPr>
          <w:p w:rsidR="005178D2" w:rsidRPr="005178D2" w:rsidRDefault="005178D2" w:rsidP="003E7651">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AD50C9" w:rsidP="003E7651">
            <w:pPr>
              <w:autoSpaceDE w:val="0"/>
              <w:autoSpaceDN w:val="0"/>
              <w:adjustRightInd w:val="0"/>
              <w:rPr>
                <w:rFonts w:ascii="Arial" w:hAnsi="Arial" w:cs="Arial"/>
                <w:b/>
                <w:sz w:val="18"/>
                <w:szCs w:val="18"/>
              </w:rPr>
            </w:pPr>
            <w:r>
              <w:rPr>
                <w:rFonts w:ascii="Arial" w:hAnsi="Arial" w:cs="Arial"/>
                <w:b/>
                <w:sz w:val="18"/>
                <w:szCs w:val="18"/>
              </w:rPr>
              <w:t>PIATA COMERCIO DE PEÇAS EIRELI-ME</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AD50C9" w:rsidP="003E7651">
            <w:pPr>
              <w:autoSpaceDE w:val="0"/>
              <w:autoSpaceDN w:val="0"/>
              <w:adjustRightInd w:val="0"/>
              <w:rPr>
                <w:rFonts w:ascii="Arial" w:hAnsi="Arial" w:cs="Arial"/>
                <w:b/>
                <w:sz w:val="18"/>
                <w:szCs w:val="18"/>
              </w:rPr>
            </w:pPr>
            <w:r>
              <w:rPr>
                <w:rFonts w:ascii="Arial" w:hAnsi="Arial" w:cs="Arial"/>
                <w:b/>
                <w:sz w:val="18"/>
                <w:szCs w:val="18"/>
              </w:rPr>
              <w:t>AV. VIDEIRA, 591 – FONE: 49-3246-4351</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AD50C9" w:rsidP="003E7651">
            <w:pPr>
              <w:autoSpaceDE w:val="0"/>
              <w:autoSpaceDN w:val="0"/>
              <w:adjustRightInd w:val="0"/>
              <w:rPr>
                <w:rFonts w:ascii="Arial" w:hAnsi="Arial" w:cs="Arial"/>
                <w:b/>
                <w:sz w:val="18"/>
                <w:szCs w:val="18"/>
              </w:rPr>
            </w:pPr>
            <w:r>
              <w:rPr>
                <w:rFonts w:ascii="Arial" w:hAnsi="Arial" w:cs="Arial"/>
                <w:b/>
                <w:sz w:val="18"/>
                <w:szCs w:val="18"/>
              </w:rPr>
              <w:t>08.932.456/0001-00</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p>
        </w:tc>
        <w:tc>
          <w:tcPr>
            <w:tcW w:w="6984" w:type="dxa"/>
            <w:vAlign w:val="center"/>
          </w:tcPr>
          <w:p w:rsidR="005178D2" w:rsidRPr="005178D2" w:rsidRDefault="005178D2" w:rsidP="003E7651">
            <w:pPr>
              <w:autoSpaceDE w:val="0"/>
              <w:autoSpaceDN w:val="0"/>
              <w:adjustRightInd w:val="0"/>
              <w:rPr>
                <w:rFonts w:ascii="Arial" w:hAnsi="Arial" w:cs="Arial"/>
                <w:b/>
                <w:sz w:val="18"/>
                <w:szCs w:val="18"/>
              </w:rPr>
            </w:pP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4938E9" w:rsidP="003E7651">
            <w:pPr>
              <w:autoSpaceDE w:val="0"/>
              <w:autoSpaceDN w:val="0"/>
              <w:adjustRightInd w:val="0"/>
              <w:rPr>
                <w:rFonts w:ascii="Arial" w:hAnsi="Arial" w:cs="Arial"/>
                <w:b/>
                <w:sz w:val="18"/>
                <w:szCs w:val="18"/>
              </w:rPr>
            </w:pPr>
            <w:r>
              <w:rPr>
                <w:rFonts w:ascii="Arial" w:hAnsi="Arial" w:cs="Arial"/>
                <w:b/>
                <w:sz w:val="18"/>
                <w:szCs w:val="18"/>
              </w:rPr>
              <w:t>MARCOS AURELIO MIGLIOLLI</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4938E9" w:rsidP="003E7651">
            <w:pPr>
              <w:autoSpaceDE w:val="0"/>
              <w:autoSpaceDN w:val="0"/>
              <w:adjustRightInd w:val="0"/>
              <w:rPr>
                <w:rFonts w:ascii="Arial" w:hAnsi="Arial" w:cs="Arial"/>
                <w:b/>
                <w:sz w:val="18"/>
                <w:szCs w:val="18"/>
              </w:rPr>
            </w:pPr>
            <w:r>
              <w:rPr>
                <w:rFonts w:ascii="Arial" w:hAnsi="Arial" w:cs="Arial"/>
                <w:b/>
                <w:sz w:val="18"/>
                <w:szCs w:val="18"/>
              </w:rPr>
              <w:t>FRAIBURGO/SC</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4938E9" w:rsidP="003E7651">
            <w:pPr>
              <w:autoSpaceDE w:val="0"/>
              <w:autoSpaceDN w:val="0"/>
              <w:adjustRightInd w:val="0"/>
              <w:rPr>
                <w:rFonts w:ascii="Arial" w:hAnsi="Arial" w:cs="Arial"/>
                <w:b/>
                <w:sz w:val="18"/>
                <w:szCs w:val="18"/>
              </w:rPr>
            </w:pPr>
            <w:r>
              <w:rPr>
                <w:rFonts w:ascii="Arial" w:hAnsi="Arial" w:cs="Arial"/>
                <w:b/>
                <w:sz w:val="18"/>
                <w:szCs w:val="18"/>
              </w:rPr>
              <w:t>527.900.709-97</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4938E9" w:rsidP="003E7651">
            <w:pPr>
              <w:autoSpaceDE w:val="0"/>
              <w:autoSpaceDN w:val="0"/>
              <w:adjustRightInd w:val="0"/>
              <w:rPr>
                <w:rFonts w:ascii="Arial" w:hAnsi="Arial" w:cs="Arial"/>
                <w:b/>
                <w:sz w:val="18"/>
                <w:szCs w:val="18"/>
              </w:rPr>
            </w:pPr>
            <w:r>
              <w:rPr>
                <w:rFonts w:ascii="Arial" w:hAnsi="Arial" w:cs="Arial"/>
                <w:b/>
                <w:sz w:val="18"/>
                <w:szCs w:val="18"/>
              </w:rPr>
              <w:t>1685468</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3E7651">
            <w:pPr>
              <w:jc w:val="center"/>
              <w:rPr>
                <w:rFonts w:ascii="Arial" w:hAnsi="Arial" w:cs="Arial"/>
                <w:sz w:val="18"/>
                <w:szCs w:val="18"/>
              </w:rPr>
            </w:pPr>
          </w:p>
          <w:p w:rsidR="00F8312D" w:rsidRPr="005178D2" w:rsidRDefault="00F8312D" w:rsidP="003E7651">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17</w:t>
            </w:r>
          </w:p>
        </w:tc>
        <w:tc>
          <w:tcPr>
            <w:tcW w:w="3657" w:type="dxa"/>
            <w:vAlign w:val="center"/>
          </w:tcPr>
          <w:p w:rsidR="00F8312D" w:rsidRPr="005178D2" w:rsidRDefault="00F8312D" w:rsidP="003E7651">
            <w:pPr>
              <w:rPr>
                <w:rFonts w:ascii="Arial" w:hAnsi="Arial" w:cs="Arial"/>
                <w:color w:val="000000"/>
                <w:sz w:val="18"/>
                <w:szCs w:val="18"/>
              </w:rPr>
            </w:pPr>
            <w:r w:rsidRPr="005178D2">
              <w:rPr>
                <w:rFonts w:ascii="Arial" w:hAnsi="Arial" w:cs="Arial"/>
                <w:b/>
                <w:color w:val="000000"/>
                <w:sz w:val="18"/>
                <w:szCs w:val="18"/>
              </w:rPr>
              <w:t>BOTINA DE SEGURANÇA COM CADARÇO PARA SAMU</w:t>
            </w:r>
            <w:r w:rsidRPr="005178D2">
              <w:rPr>
                <w:rFonts w:ascii="Arial" w:hAnsi="Arial" w:cs="Arial"/>
                <w:color w:val="000000"/>
                <w:sz w:val="18"/>
                <w:szCs w:val="18"/>
              </w:rPr>
              <w:t xml:space="preserve"> - Couro acabado liso 1.8 </w:t>
            </w:r>
            <w:proofErr w:type="spellStart"/>
            <w:r w:rsidRPr="005178D2">
              <w:rPr>
                <w:rFonts w:ascii="Arial" w:hAnsi="Arial" w:cs="Arial"/>
                <w:color w:val="000000"/>
                <w:sz w:val="18"/>
                <w:szCs w:val="18"/>
              </w:rPr>
              <w:t>Hidrofugado</w:t>
            </w:r>
            <w:proofErr w:type="spellEnd"/>
            <w:r w:rsidRPr="005178D2">
              <w:rPr>
                <w:rFonts w:ascii="Arial" w:hAnsi="Arial" w:cs="Arial"/>
                <w:color w:val="000000"/>
                <w:sz w:val="18"/>
                <w:szCs w:val="18"/>
              </w:rPr>
              <w:t xml:space="preserve"> e escovado; Zíper nas laterais; Cano e língua em poliéster de alta tenacidade; Colarinho em </w:t>
            </w:r>
            <w:proofErr w:type="spellStart"/>
            <w:r w:rsidRPr="005178D2">
              <w:rPr>
                <w:rFonts w:ascii="Arial" w:hAnsi="Arial" w:cs="Arial"/>
                <w:color w:val="000000"/>
                <w:sz w:val="18"/>
                <w:szCs w:val="18"/>
              </w:rPr>
              <w:t>napa</w:t>
            </w:r>
            <w:proofErr w:type="spellEnd"/>
            <w:r w:rsidRPr="005178D2">
              <w:rPr>
                <w:rFonts w:ascii="Arial" w:hAnsi="Arial" w:cs="Arial"/>
                <w:color w:val="000000"/>
                <w:sz w:val="18"/>
                <w:szCs w:val="18"/>
              </w:rPr>
              <w:t xml:space="preserve"> vacum com espuma; </w:t>
            </w:r>
            <w:proofErr w:type="spellStart"/>
            <w:r w:rsidRPr="005178D2">
              <w:rPr>
                <w:rFonts w:ascii="Arial" w:hAnsi="Arial" w:cs="Arial"/>
                <w:color w:val="000000"/>
                <w:sz w:val="18"/>
                <w:szCs w:val="18"/>
              </w:rPr>
              <w:t>Lingueta</w:t>
            </w:r>
            <w:proofErr w:type="spellEnd"/>
            <w:r w:rsidRPr="005178D2">
              <w:rPr>
                <w:rFonts w:ascii="Arial" w:hAnsi="Arial" w:cs="Arial"/>
                <w:color w:val="000000"/>
                <w:sz w:val="18"/>
                <w:szCs w:val="18"/>
              </w:rPr>
              <w:t xml:space="preserve"> tipo </w:t>
            </w:r>
            <w:proofErr w:type="spellStart"/>
            <w:r w:rsidRPr="005178D2">
              <w:rPr>
                <w:rFonts w:ascii="Arial" w:hAnsi="Arial" w:cs="Arial"/>
                <w:color w:val="000000"/>
                <w:sz w:val="18"/>
                <w:szCs w:val="18"/>
              </w:rPr>
              <w:t>folen</w:t>
            </w:r>
            <w:proofErr w:type="spellEnd"/>
            <w:r w:rsidRPr="005178D2">
              <w:rPr>
                <w:rFonts w:ascii="Arial" w:hAnsi="Arial" w:cs="Arial"/>
                <w:color w:val="000000"/>
                <w:sz w:val="18"/>
                <w:szCs w:val="18"/>
              </w:rPr>
              <w:t>; Ilhós e ganchos em polímero; Cadarços em poliéster de alta tenacidade de 136 fios</w:t>
            </w:r>
            <w:proofErr w:type="gramStart"/>
            <w:r w:rsidRPr="005178D2">
              <w:rPr>
                <w:rFonts w:ascii="Arial" w:hAnsi="Arial" w:cs="Arial"/>
                <w:color w:val="000000"/>
                <w:sz w:val="18"/>
                <w:szCs w:val="18"/>
              </w:rPr>
              <w:t>, Bota</w:t>
            </w:r>
            <w:proofErr w:type="gramEnd"/>
            <w:r w:rsidRPr="005178D2">
              <w:rPr>
                <w:rFonts w:ascii="Arial" w:hAnsi="Arial" w:cs="Arial"/>
                <w:color w:val="000000"/>
                <w:sz w:val="18"/>
                <w:szCs w:val="18"/>
              </w:rPr>
              <w:t xml:space="preserve"> Cano Longo. FORRAÇÃO com Tecido poliéster, poliamida dublado com espuma de </w:t>
            </w:r>
            <w:proofErr w:type="gramStart"/>
            <w:r w:rsidRPr="005178D2">
              <w:rPr>
                <w:rFonts w:ascii="Arial" w:hAnsi="Arial" w:cs="Arial"/>
                <w:color w:val="000000"/>
                <w:sz w:val="18"/>
                <w:szCs w:val="18"/>
              </w:rPr>
              <w:t>3mm</w:t>
            </w:r>
            <w:proofErr w:type="gramEnd"/>
            <w:r w:rsidRPr="005178D2">
              <w:rPr>
                <w:rFonts w:ascii="Arial" w:hAnsi="Arial" w:cs="Arial"/>
                <w:color w:val="000000"/>
                <w:sz w:val="18"/>
                <w:szCs w:val="18"/>
              </w:rPr>
              <w:t xml:space="preserve">; Forro colarinho em trama </w:t>
            </w:r>
            <w:proofErr w:type="spellStart"/>
            <w:r w:rsidRPr="005178D2">
              <w:rPr>
                <w:rFonts w:ascii="Arial" w:hAnsi="Arial" w:cs="Arial"/>
                <w:color w:val="000000"/>
                <w:sz w:val="18"/>
                <w:szCs w:val="18"/>
              </w:rPr>
              <w:t>colmeia</w:t>
            </w:r>
            <w:proofErr w:type="spellEnd"/>
            <w:r w:rsidRPr="005178D2">
              <w:rPr>
                <w:rFonts w:ascii="Arial" w:hAnsi="Arial" w:cs="Arial"/>
                <w:color w:val="000000"/>
                <w:sz w:val="18"/>
                <w:szCs w:val="18"/>
              </w:rPr>
              <w:t xml:space="preserve">; PALMILHA em EVA com espuma </w:t>
            </w:r>
            <w:proofErr w:type="spellStart"/>
            <w:r w:rsidRPr="005178D2">
              <w:rPr>
                <w:rFonts w:ascii="Arial" w:hAnsi="Arial" w:cs="Arial"/>
                <w:color w:val="000000"/>
                <w:sz w:val="18"/>
                <w:szCs w:val="18"/>
              </w:rPr>
              <w:t>poliretamica</w:t>
            </w:r>
            <w:proofErr w:type="spellEnd"/>
            <w:r w:rsidRPr="005178D2">
              <w:rPr>
                <w:rFonts w:ascii="Arial" w:hAnsi="Arial" w:cs="Arial"/>
                <w:color w:val="000000"/>
                <w:sz w:val="18"/>
                <w:szCs w:val="18"/>
              </w:rPr>
              <w:t xml:space="preserve"> de alta densidade e tecido poliéster com furos para absorção de suor; Solado de borracha, antiderrapante; </w:t>
            </w:r>
            <w:proofErr w:type="spellStart"/>
            <w:r w:rsidRPr="005178D2">
              <w:rPr>
                <w:rFonts w:ascii="Arial" w:hAnsi="Arial" w:cs="Arial"/>
                <w:color w:val="000000"/>
                <w:sz w:val="18"/>
                <w:szCs w:val="18"/>
              </w:rPr>
              <w:t>Blaqueação</w:t>
            </w:r>
            <w:proofErr w:type="spellEnd"/>
            <w:r w:rsidRPr="005178D2">
              <w:rPr>
                <w:rFonts w:ascii="Arial" w:hAnsi="Arial" w:cs="Arial"/>
                <w:color w:val="000000"/>
                <w:sz w:val="18"/>
                <w:szCs w:val="18"/>
              </w:rPr>
              <w:t xml:space="preserve"> total; PESO (+/-) 0,470 KG; ALTURA EXTERNA: 9,45 polegadas. Numeração: 34 </w:t>
            </w:r>
            <w:proofErr w:type="gramStart"/>
            <w:r w:rsidRPr="005178D2">
              <w:rPr>
                <w:rFonts w:ascii="Arial" w:hAnsi="Arial" w:cs="Arial"/>
                <w:color w:val="000000"/>
                <w:sz w:val="18"/>
                <w:szCs w:val="18"/>
              </w:rPr>
              <w:t>ao 42</w:t>
            </w:r>
            <w:proofErr w:type="gramEnd"/>
            <w:r w:rsidRPr="005178D2">
              <w:rPr>
                <w:rFonts w:ascii="Arial" w:hAnsi="Arial" w:cs="Arial"/>
                <w:color w:val="000000"/>
                <w:sz w:val="18"/>
                <w:szCs w:val="18"/>
              </w:rPr>
              <w:t>. Identificação do SAMU com símbolo bordado na parte superior externa da botina incluso.</w:t>
            </w:r>
          </w:p>
        </w:tc>
        <w:tc>
          <w:tcPr>
            <w:tcW w:w="850"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PAR</w:t>
            </w:r>
          </w:p>
        </w:tc>
        <w:tc>
          <w:tcPr>
            <w:tcW w:w="1134"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Default="009E685C" w:rsidP="003E7651">
            <w:pPr>
              <w:jc w:val="right"/>
              <w:rPr>
                <w:rFonts w:ascii="Arial" w:hAnsi="Arial" w:cs="Arial"/>
                <w:sz w:val="18"/>
                <w:szCs w:val="18"/>
              </w:rPr>
            </w:pPr>
          </w:p>
          <w:p w:rsidR="009E685C" w:rsidRPr="005178D2" w:rsidRDefault="009E685C" w:rsidP="003E7651">
            <w:pPr>
              <w:jc w:val="right"/>
              <w:rPr>
                <w:rFonts w:ascii="Arial" w:hAnsi="Arial" w:cs="Arial"/>
                <w:sz w:val="18"/>
                <w:szCs w:val="18"/>
              </w:rPr>
            </w:pPr>
            <w:r>
              <w:rPr>
                <w:rFonts w:ascii="Arial" w:hAnsi="Arial" w:cs="Arial"/>
                <w:sz w:val="18"/>
                <w:szCs w:val="18"/>
              </w:rPr>
              <w:t>RAFALE</w:t>
            </w:r>
          </w:p>
        </w:tc>
        <w:tc>
          <w:tcPr>
            <w:tcW w:w="1276" w:type="dxa"/>
            <w:vAlign w:val="center"/>
          </w:tcPr>
          <w:p w:rsidR="00F8312D" w:rsidRPr="005178D2" w:rsidRDefault="009E685C" w:rsidP="003E7651">
            <w:pPr>
              <w:jc w:val="right"/>
              <w:rPr>
                <w:rFonts w:ascii="Arial" w:hAnsi="Arial" w:cs="Arial"/>
                <w:sz w:val="18"/>
                <w:szCs w:val="18"/>
              </w:rPr>
            </w:pPr>
            <w:r>
              <w:rPr>
                <w:rFonts w:ascii="Arial" w:hAnsi="Arial" w:cs="Arial"/>
                <w:sz w:val="18"/>
                <w:szCs w:val="18"/>
              </w:rPr>
              <w:t>319,00</w:t>
            </w:r>
          </w:p>
        </w:tc>
        <w:tc>
          <w:tcPr>
            <w:tcW w:w="1417" w:type="dxa"/>
            <w:vAlign w:val="center"/>
          </w:tcPr>
          <w:p w:rsidR="00F8312D" w:rsidRPr="005178D2" w:rsidRDefault="009E685C" w:rsidP="003E7651">
            <w:pPr>
              <w:jc w:val="right"/>
              <w:rPr>
                <w:rFonts w:ascii="Arial" w:hAnsi="Arial" w:cs="Arial"/>
                <w:sz w:val="18"/>
                <w:szCs w:val="18"/>
              </w:rPr>
            </w:pPr>
            <w:r>
              <w:rPr>
                <w:rFonts w:ascii="Arial" w:hAnsi="Arial" w:cs="Arial"/>
                <w:sz w:val="18"/>
                <w:szCs w:val="18"/>
              </w:rPr>
              <w:t>19.140,00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ind w:left="360"/>
        <w:jc w:val="both"/>
        <w:rPr>
          <w:rFonts w:ascii="Arial" w:hAnsi="Arial" w:cs="Arial"/>
          <w:sz w:val="18"/>
          <w:szCs w:val="18"/>
        </w:rPr>
      </w:pP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tabs>
          <w:tab w:val="clear" w:pos="708"/>
          <w:tab w:val="clear" w:pos="2270"/>
          <w:tab w:val="clear" w:pos="4294"/>
        </w:tabs>
        <w:ind w:left="426"/>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 xml:space="preserve">Ao executar o objeto, a DETENTORA deverá observar os critérios de bom acabamento, costuras perfeitas, com linhas na cor do tecido e sem pontas. A estampa deverá ser bem feita, de modo que cubra o tecido, seja ela bordada e/ou com tinta </w:t>
      </w:r>
      <w:r w:rsidRPr="005178D2">
        <w:rPr>
          <w:rFonts w:cs="Arial"/>
          <w:sz w:val="18"/>
          <w:szCs w:val="18"/>
        </w:rPr>
        <w:lastRenderedPageBreak/>
        <w:t>de serigrafia.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5178D2" w:rsidRDefault="005178D2" w:rsidP="005178D2">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5178D2" w:rsidRDefault="005178D2" w:rsidP="005178D2">
      <w:pPr>
        <w:pStyle w:val="Corpodetexto"/>
        <w:tabs>
          <w:tab w:val="clear" w:pos="708"/>
          <w:tab w:val="clear" w:pos="2270"/>
          <w:tab w:val="clear" w:pos="4294"/>
          <w:tab w:val="left" w:pos="720"/>
        </w:tabs>
        <w:ind w:left="720"/>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Caso os materiais sejam recusados ou o documento fiscal apresente incorreção, o prazo de pagamento será contado a partir da data da regularização da entrega ou do documento fiscal, a depender do evento.</w:t>
      </w:r>
    </w:p>
    <w:p w:rsidR="005178D2" w:rsidRPr="005178D2" w:rsidRDefault="005178D2" w:rsidP="005178D2">
      <w:pPr>
        <w:pStyle w:val="Corpodetexto"/>
        <w:tabs>
          <w:tab w:val="clear" w:pos="708"/>
          <w:tab w:val="clear" w:pos="2270"/>
          <w:tab w:val="clear" w:pos="4294"/>
          <w:tab w:val="left" w:pos="567"/>
        </w:tabs>
        <w:ind w:left="720"/>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O pagamento será realizado em até 30 (trinta) dias, contados da entrega do objeto, importando os valores conforme a 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9E685C">
        <w:rPr>
          <w:rFonts w:ascii="Arial" w:hAnsi="Arial" w:cs="Arial"/>
          <w:sz w:val="18"/>
          <w:szCs w:val="18"/>
        </w:rPr>
        <w:t xml:space="preserve"> Banco Brasil, </w:t>
      </w:r>
      <w:proofErr w:type="spellStart"/>
      <w:r w:rsidR="009E685C">
        <w:rPr>
          <w:rFonts w:ascii="Arial" w:hAnsi="Arial" w:cs="Arial"/>
          <w:sz w:val="18"/>
          <w:szCs w:val="18"/>
        </w:rPr>
        <w:t>ag</w:t>
      </w:r>
      <w:proofErr w:type="spellEnd"/>
      <w:r w:rsidR="009E685C">
        <w:rPr>
          <w:rFonts w:ascii="Arial" w:hAnsi="Arial" w:cs="Arial"/>
          <w:sz w:val="18"/>
          <w:szCs w:val="18"/>
        </w:rPr>
        <w:t>. 1387-0, c/c 15.982-4.</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tabs>
          <w:tab w:val="clear" w:pos="708"/>
          <w:tab w:val="clear" w:pos="2270"/>
          <w:tab w:val="clear" w:pos="4294"/>
          <w:tab w:val="left" w:pos="426"/>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5178D2" w:rsidRDefault="005178D2" w:rsidP="005178D2">
      <w:pPr>
        <w:ind w:firstLine="708"/>
        <w:jc w:val="both"/>
        <w:rPr>
          <w:rFonts w:ascii="Arial" w:hAnsi="Arial"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A ordem de classificação dos fornecedores que aceitarem reduzir seus preços aos valores de mercado observará a classificação original.</w:t>
      </w:r>
    </w:p>
    <w:p w:rsidR="005178D2" w:rsidRPr="005178D2" w:rsidRDefault="005178D2" w:rsidP="005178D2">
      <w:pPr>
        <w:pStyle w:val="Corpodetexto"/>
        <w:tabs>
          <w:tab w:val="clear" w:pos="708"/>
          <w:tab w:val="clear" w:pos="2270"/>
          <w:tab w:val="clear" w:pos="4294"/>
          <w:tab w:val="left" w:pos="567"/>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por eventuais danos causados à Administração ou a terceiros, decorrentes de sua culpa ou dolo na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Conduzir eventuais procedimentos administrativos de renegociação de preços registrados, para fins de adequação às </w:t>
      </w:r>
      <w:r w:rsidRPr="005178D2">
        <w:rPr>
          <w:rFonts w:ascii="Arial" w:hAnsi="Arial" w:cs="Arial"/>
          <w:sz w:val="18"/>
          <w:szCs w:val="18"/>
        </w:rPr>
        <w:lastRenderedPageBreak/>
        <w:t>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5178D2" w:rsidRDefault="005178D2" w:rsidP="005178D2">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178D2" w:rsidRPr="005178D2" w:rsidRDefault="005178D2" w:rsidP="005178D2">
      <w:pPr>
        <w:pStyle w:val="Estilo1"/>
        <w:tabs>
          <w:tab w:val="left" w:pos="426"/>
        </w:tabs>
        <w:spacing w:after="0" w:line="240" w:lineRule="auto"/>
        <w:ind w:left="426"/>
        <w:rPr>
          <w:rFonts w:ascii="Arial" w:hAnsi="Arial" w:cs="Arial"/>
          <w:sz w:val="18"/>
          <w:szCs w:val="18"/>
        </w:rPr>
      </w:pPr>
    </w:p>
    <w:p w:rsidR="005178D2" w:rsidRPr="005178D2" w:rsidRDefault="005178D2" w:rsidP="005178D2">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5178D2" w:rsidRDefault="005178D2" w:rsidP="005178D2">
      <w:pPr>
        <w:tabs>
          <w:tab w:val="left" w:pos="0"/>
          <w:tab w:val="left" w:pos="567"/>
        </w:tabs>
        <w:jc w:val="both"/>
        <w:rPr>
          <w:rFonts w:ascii="Arial" w:hAnsi="Arial" w:cs="Arial"/>
          <w:sz w:val="18"/>
          <w:szCs w:val="18"/>
        </w:rPr>
      </w:pPr>
    </w:p>
    <w:p w:rsidR="005178D2" w:rsidRPr="005178D2" w:rsidRDefault="005178D2" w:rsidP="005178D2">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tabs>
          <w:tab w:val="left" w:pos="567"/>
        </w:tabs>
        <w:ind w:left="567"/>
        <w:jc w:val="both"/>
        <w:rPr>
          <w:rFonts w:ascii="Arial" w:hAnsi="Arial" w:cs="Arial"/>
          <w:sz w:val="18"/>
          <w:szCs w:val="18"/>
        </w:rPr>
      </w:pP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709"/>
        </w:tabs>
        <w:ind w:left="709"/>
        <w:rPr>
          <w:rFonts w:cs="Arial"/>
          <w:sz w:val="18"/>
          <w:szCs w:val="18"/>
        </w:rPr>
      </w:pPr>
    </w:p>
    <w:p w:rsidR="005178D2" w:rsidRPr="005178D2" w:rsidRDefault="005178D2" w:rsidP="005178D2">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O cancelamento de registros nas hipóteses previstas nas alíneas “a”, “b” e “d” será formalizado por despacho do órgão gerenciador, assegurado o contraditório e a ampla defesa.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5178D2" w:rsidRPr="005178D2" w:rsidRDefault="005178D2" w:rsidP="005178D2">
      <w:pPr>
        <w:widowControl w:val="0"/>
        <w:ind w:left="426"/>
        <w:jc w:val="both"/>
        <w:rPr>
          <w:rFonts w:ascii="Arial" w:hAnsi="Arial" w:cs="Arial"/>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5178D2" w:rsidRDefault="005178D2" w:rsidP="005178D2">
      <w:pPr>
        <w:widowControl w:val="0"/>
        <w:ind w:left="426" w:hanging="426"/>
        <w:jc w:val="both"/>
        <w:rPr>
          <w:rFonts w:ascii="Arial" w:hAnsi="Arial" w:cs="Arial"/>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5178D2" w:rsidRDefault="005178D2" w:rsidP="005178D2">
      <w:pPr>
        <w:pStyle w:val="Ttulo"/>
        <w:ind w:left="426" w:hanging="426"/>
        <w:jc w:val="both"/>
        <w:rPr>
          <w:rFonts w:ascii="Arial" w:hAnsi="Arial" w:cs="Arial"/>
          <w:b w:val="0"/>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A declaração de nulidade deste instrumento opera retroativamente impedindo os efeitos jurídicos que ele, ordinariamente, </w:t>
      </w:r>
      <w:r w:rsidRPr="005178D2">
        <w:rPr>
          <w:rFonts w:ascii="Arial" w:hAnsi="Arial" w:cs="Arial"/>
          <w:b w:val="0"/>
          <w:sz w:val="18"/>
          <w:szCs w:val="18"/>
        </w:rPr>
        <w:lastRenderedPageBreak/>
        <w:t>deveria produzir, além de desconstituir os já produzidos.</w:t>
      </w:r>
    </w:p>
    <w:p w:rsidR="005178D2" w:rsidRPr="005178D2" w:rsidRDefault="005178D2" w:rsidP="005178D2">
      <w:pPr>
        <w:pStyle w:val="Ttulo"/>
        <w:ind w:left="426" w:hanging="426"/>
        <w:jc w:val="both"/>
        <w:rPr>
          <w:rFonts w:ascii="Arial" w:hAnsi="Arial" w:cs="Arial"/>
          <w:b w:val="0"/>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5178D2">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5178D2" w:rsidP="005178D2">
      <w:pPr>
        <w:tabs>
          <w:tab w:val="left" w:pos="0"/>
        </w:tabs>
        <w:jc w:val="both"/>
        <w:rPr>
          <w:rFonts w:ascii="Arial" w:hAnsi="Arial" w:cs="Arial"/>
          <w:sz w:val="18"/>
          <w:szCs w:val="18"/>
        </w:rPr>
      </w:pPr>
    </w:p>
    <w:p w:rsidR="005178D2" w:rsidRPr="005178D2" w:rsidRDefault="0082093F"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9C7D7A">
      <w:pPr>
        <w:tabs>
          <w:tab w:val="left" w:pos="1134"/>
        </w:tabs>
        <w:rPr>
          <w:rFonts w:ascii="Arial" w:hAnsi="Arial" w:cs="Arial"/>
          <w:sz w:val="18"/>
          <w:szCs w:val="18"/>
        </w:rPr>
      </w:pPr>
    </w:p>
    <w:p w:rsidR="005178D2" w:rsidRDefault="00C63702" w:rsidP="005178D2">
      <w:pPr>
        <w:tabs>
          <w:tab w:val="left" w:pos="1134"/>
        </w:tabs>
        <w:jc w:val="center"/>
        <w:rPr>
          <w:rFonts w:ascii="Arial" w:hAnsi="Arial" w:cs="Arial"/>
          <w:sz w:val="18"/>
          <w:szCs w:val="18"/>
        </w:rPr>
      </w:pPr>
      <w:r>
        <w:rPr>
          <w:rFonts w:ascii="Arial" w:hAnsi="Arial" w:cs="Arial"/>
          <w:sz w:val="18"/>
          <w:szCs w:val="18"/>
        </w:rPr>
        <w:t>PIATA COMERCIO DE PEÇAS EIRELI – ME</w:t>
      </w:r>
    </w:p>
    <w:p w:rsidR="00C63702" w:rsidRPr="005178D2" w:rsidRDefault="00C63702" w:rsidP="005178D2">
      <w:pPr>
        <w:tabs>
          <w:tab w:val="left" w:pos="1134"/>
        </w:tabs>
        <w:jc w:val="center"/>
        <w:rPr>
          <w:rFonts w:ascii="Arial" w:hAnsi="Arial" w:cs="Arial"/>
          <w:sz w:val="18"/>
          <w:szCs w:val="18"/>
        </w:rPr>
      </w:pPr>
      <w:r>
        <w:rPr>
          <w:rFonts w:ascii="Arial" w:hAnsi="Arial" w:cs="Arial"/>
          <w:sz w:val="18"/>
          <w:szCs w:val="18"/>
        </w:rPr>
        <w:t>MARCOS AURELIO MIGLIOLLI</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Pr="005178D2" w:rsidRDefault="005178D2" w:rsidP="005178D2">
      <w:pPr>
        <w:tabs>
          <w:tab w:val="left" w:pos="1134"/>
        </w:tabs>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5178D2" w:rsidRPr="005178D2" w:rsidRDefault="005178D2" w:rsidP="005178D2">
      <w:pPr>
        <w:tabs>
          <w:tab w:val="left" w:pos="284"/>
        </w:tabs>
        <w:ind w:left="284" w:hanging="284"/>
        <w:rPr>
          <w:rFonts w:ascii="Arial" w:hAnsi="Arial" w:cs="Arial"/>
          <w:sz w:val="18"/>
          <w:szCs w:val="18"/>
        </w:rPr>
      </w:pPr>
    </w:p>
    <w:p w:rsidR="005178D2" w:rsidRPr="005178D2" w:rsidRDefault="005178D2" w:rsidP="005178D2">
      <w:pPr>
        <w:tabs>
          <w:tab w:val="left" w:pos="284"/>
        </w:tabs>
        <w:ind w:left="284" w:hanging="284"/>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______________________</w:t>
      </w:r>
    </w:p>
    <w:p w:rsidR="00513560" w:rsidRDefault="00513560"/>
    <w:sectPr w:rsidR="00513560" w:rsidSect="00445BCC">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60" w:rsidRDefault="00513560" w:rsidP="00513560">
      <w:pPr>
        <w:spacing w:after="0" w:line="240" w:lineRule="auto"/>
      </w:pPr>
      <w:r>
        <w:separator/>
      </w:r>
    </w:p>
  </w:endnote>
  <w:endnote w:type="continuationSeparator" w:id="1">
    <w:p w:rsidR="00513560" w:rsidRDefault="00513560" w:rsidP="00513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5F53EB">
    <w:pPr>
      <w:pStyle w:val="Rodap"/>
      <w:ind w:right="360"/>
      <w:rPr>
        <w:sz w:val="16"/>
      </w:rPr>
    </w:pPr>
    <w:r w:rsidRPr="005F53EB">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967401" w:rsidRDefault="005F53EB">
                <w:pPr>
                  <w:pStyle w:val="Rodap"/>
                </w:pPr>
                <w:r>
                  <w:rPr>
                    <w:rStyle w:val="Nmerodepgina"/>
                  </w:rPr>
                  <w:fldChar w:fldCharType="begin"/>
                </w:r>
                <w:r w:rsidR="00F8312D">
                  <w:rPr>
                    <w:rStyle w:val="Nmerodepgina"/>
                  </w:rPr>
                  <w:instrText xml:space="preserve"> PAGE </w:instrText>
                </w:r>
                <w:r>
                  <w:rPr>
                    <w:rStyle w:val="Nmerodepgina"/>
                  </w:rPr>
                  <w:fldChar w:fldCharType="separate"/>
                </w:r>
                <w:r w:rsidR="00C63702">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60" w:rsidRDefault="00513560" w:rsidP="00513560">
      <w:pPr>
        <w:spacing w:after="0" w:line="240" w:lineRule="auto"/>
      </w:pPr>
      <w:r>
        <w:separator/>
      </w:r>
    </w:p>
  </w:footnote>
  <w:footnote w:type="continuationSeparator" w:id="1">
    <w:p w:rsidR="00513560" w:rsidRDefault="00513560" w:rsidP="00513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F8312D">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967401" w:rsidRPr="00C9520B" w:rsidRDefault="00F8312D" w:rsidP="00C9520B">
    <w:pPr>
      <w:ind w:left="1134"/>
      <w:rPr>
        <w:sz w:val="20"/>
      </w:rPr>
    </w:pPr>
    <w:r w:rsidRPr="00C9520B">
      <w:rPr>
        <w:sz w:val="20"/>
      </w:rPr>
      <w:t>MUNICÍPIO DE JOAÇABA</w:t>
    </w:r>
  </w:p>
  <w:p w:rsidR="00C9520B" w:rsidRPr="00C9520B" w:rsidRDefault="00F8312D" w:rsidP="00C9520B">
    <w:pPr>
      <w:ind w:left="1134"/>
      <w:rPr>
        <w:sz w:val="20"/>
      </w:rPr>
    </w:pPr>
    <w:r w:rsidRPr="00C9520B">
      <w:rPr>
        <w:sz w:val="20"/>
      </w:rPr>
      <w:t>SECRETARIA MUNICIPAL DE SAÚDE</w:t>
    </w:r>
  </w:p>
  <w:p w:rsidR="00C9520B" w:rsidRDefault="00F8312D" w:rsidP="00C9520B">
    <w:pPr>
      <w:ind w:left="1134"/>
      <w:rPr>
        <w:b/>
        <w:sz w:val="20"/>
      </w:rPr>
    </w:pPr>
    <w:r>
      <w:rPr>
        <w:b/>
        <w:sz w:val="20"/>
      </w:rPr>
      <w:t>Fundo Municipal de Saúde</w:t>
    </w:r>
  </w:p>
  <w:p w:rsidR="00445BCC" w:rsidRDefault="00C63702" w:rsidP="00C9520B">
    <w:pPr>
      <w:ind w:left="1134"/>
      <w:rPr>
        <w:b/>
        <w:sz w:val="20"/>
      </w:rPr>
    </w:pPr>
  </w:p>
  <w:p w:rsidR="00445BCC" w:rsidRDefault="00C63702" w:rsidP="00C9520B">
    <w:pPr>
      <w:ind w:left="1134"/>
      <w:rPr>
        <w:b/>
        <w:sz w:val="20"/>
      </w:rPr>
    </w:pPr>
  </w:p>
  <w:p w:rsidR="00445BCC" w:rsidRDefault="00C63702" w:rsidP="00C9520B">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759ED"/>
    <w:rsid w:val="002743D7"/>
    <w:rsid w:val="0040189D"/>
    <w:rsid w:val="004938E9"/>
    <w:rsid w:val="00513560"/>
    <w:rsid w:val="005178D2"/>
    <w:rsid w:val="00556EA6"/>
    <w:rsid w:val="005F53EB"/>
    <w:rsid w:val="0082093F"/>
    <w:rsid w:val="009C7D7A"/>
    <w:rsid w:val="009E685C"/>
    <w:rsid w:val="00AD50C9"/>
    <w:rsid w:val="00C63702"/>
    <w:rsid w:val="00CD2A49"/>
    <w:rsid w:val="00DF2865"/>
    <w:rsid w:val="00E841E6"/>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0"/>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3C-5B9C-45D7-AE6B-F977F5C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2498</Words>
  <Characters>13490</Characters>
  <Application>Microsoft Office Word</Application>
  <DocSecurity>0</DocSecurity>
  <Lines>112</Lines>
  <Paragraphs>31</Paragraphs>
  <ScaleCrop>false</ScaleCrop>
  <Company>PMJ</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2017-08-18T20:00:00Z</dcterms:created>
  <dcterms:modified xsi:type="dcterms:W3CDTF">2017-08-18T20:20:00Z</dcterms:modified>
</cp:coreProperties>
</file>