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5178D2" w:rsidRPr="005178D2">
        <w:rPr>
          <w:rFonts w:ascii="Arial" w:hAnsi="Arial" w:cs="Arial"/>
          <w:b/>
          <w:sz w:val="18"/>
          <w:szCs w:val="18"/>
        </w:rPr>
        <w:t>/2017</w:t>
      </w:r>
      <w:r w:rsidR="00DB674B">
        <w:rPr>
          <w:rFonts w:ascii="Arial" w:hAnsi="Arial" w:cs="Arial"/>
          <w:b/>
          <w:sz w:val="18"/>
          <w:szCs w:val="18"/>
        </w:rPr>
        <w:t>/FMS/01</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3E7651">
        <w:tc>
          <w:tcPr>
            <w:tcW w:w="402" w:type="dxa"/>
            <w:vMerge w:val="restart"/>
            <w:vAlign w:val="center"/>
          </w:tcPr>
          <w:p w:rsidR="005178D2" w:rsidRPr="005178D2" w:rsidRDefault="005178D2" w:rsidP="003E7651">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IDEALIZE COMUNICAÇÃO E BRINDES LTDA-ME</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RUA SETE DE ABRIL, 2729-SL 02 – FONE: 49-3555-5043</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21.033.152/0001-60</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p>
        </w:tc>
        <w:tc>
          <w:tcPr>
            <w:tcW w:w="6984" w:type="dxa"/>
            <w:vAlign w:val="center"/>
          </w:tcPr>
          <w:p w:rsidR="005178D2" w:rsidRPr="005178D2" w:rsidRDefault="005178D2" w:rsidP="003E7651">
            <w:pPr>
              <w:autoSpaceDE w:val="0"/>
              <w:autoSpaceDN w:val="0"/>
              <w:adjustRightInd w:val="0"/>
              <w:rPr>
                <w:rFonts w:ascii="Arial" w:hAnsi="Arial" w:cs="Arial"/>
                <w:b/>
                <w:sz w:val="18"/>
                <w:szCs w:val="18"/>
              </w:rPr>
            </w:pP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GILBERTO LUPATO</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OURO/SC</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743.515.320-68</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3B186C" w:rsidP="003E7651">
            <w:pPr>
              <w:autoSpaceDE w:val="0"/>
              <w:autoSpaceDN w:val="0"/>
              <w:adjustRightInd w:val="0"/>
              <w:rPr>
                <w:rFonts w:ascii="Arial" w:hAnsi="Arial" w:cs="Arial"/>
                <w:b/>
                <w:sz w:val="18"/>
                <w:szCs w:val="18"/>
              </w:rPr>
            </w:pPr>
            <w:r>
              <w:rPr>
                <w:rFonts w:ascii="Arial" w:hAnsi="Arial" w:cs="Arial"/>
                <w:b/>
                <w:sz w:val="18"/>
                <w:szCs w:val="18"/>
              </w:rPr>
              <w:t>02079020101</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3E7651">
            <w:pPr>
              <w:jc w:val="center"/>
              <w:rPr>
                <w:rFonts w:ascii="Arial" w:hAnsi="Arial" w:cs="Arial"/>
                <w:sz w:val="18"/>
                <w:szCs w:val="18"/>
              </w:rPr>
            </w:pPr>
          </w:p>
          <w:p w:rsidR="00F8312D" w:rsidRPr="005178D2" w:rsidRDefault="00F8312D" w:rsidP="003E7651">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18</w:t>
            </w:r>
          </w:p>
        </w:tc>
        <w:tc>
          <w:tcPr>
            <w:tcW w:w="3657" w:type="dxa"/>
            <w:vAlign w:val="center"/>
          </w:tcPr>
          <w:p w:rsidR="00F8312D" w:rsidRPr="005178D2" w:rsidRDefault="00F8312D" w:rsidP="003E7651">
            <w:pPr>
              <w:rPr>
                <w:rFonts w:ascii="Arial" w:hAnsi="Arial" w:cs="Arial"/>
                <w:color w:val="000000"/>
                <w:sz w:val="18"/>
                <w:szCs w:val="18"/>
              </w:rPr>
            </w:pPr>
            <w:r w:rsidRPr="005178D2">
              <w:rPr>
                <w:rFonts w:ascii="Arial" w:hAnsi="Arial" w:cs="Arial"/>
                <w:b/>
                <w:color w:val="000000"/>
                <w:sz w:val="18"/>
                <w:szCs w:val="18"/>
              </w:rPr>
              <w:t>BONÉ AGENTE COMUNITÁRIA DE SAÚDE</w:t>
            </w:r>
            <w:r w:rsidRPr="005178D2">
              <w:rPr>
                <w:rFonts w:ascii="Arial" w:hAnsi="Arial" w:cs="Arial"/>
                <w:color w:val="000000"/>
                <w:sz w:val="18"/>
                <w:szCs w:val="18"/>
              </w:rPr>
              <w:t xml:space="preserve">- Bonés para as Agentes Comunitárias de Saúde. </w:t>
            </w:r>
            <w:proofErr w:type="gramStart"/>
            <w:r w:rsidRPr="005178D2">
              <w:rPr>
                <w:rFonts w:ascii="Arial" w:hAnsi="Arial" w:cs="Arial"/>
                <w:color w:val="000000"/>
                <w:sz w:val="18"/>
                <w:szCs w:val="18"/>
              </w:rPr>
              <w:t>6</w:t>
            </w:r>
            <w:proofErr w:type="gramEnd"/>
            <w:r w:rsidRPr="005178D2">
              <w:rPr>
                <w:rFonts w:ascii="Arial" w:hAnsi="Arial" w:cs="Arial"/>
                <w:color w:val="000000"/>
                <w:sz w:val="18"/>
                <w:szCs w:val="18"/>
              </w:rPr>
              <w:t xml:space="preserve"> gomos, aba curva, regulador em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 microfibra, 100% poliéster. Cor a definir. Tamanho: Adulto Logo da Estratégia da Saúde da Família bordado. 01 Cor.</w:t>
            </w:r>
          </w:p>
        </w:tc>
        <w:tc>
          <w:tcPr>
            <w:tcW w:w="850"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150</w:t>
            </w:r>
          </w:p>
        </w:tc>
        <w:tc>
          <w:tcPr>
            <w:tcW w:w="1418" w:type="dxa"/>
          </w:tcPr>
          <w:p w:rsidR="00F8312D" w:rsidRDefault="00F8312D" w:rsidP="003E7651">
            <w:pPr>
              <w:jc w:val="right"/>
              <w:rPr>
                <w:rFonts w:ascii="Arial" w:hAnsi="Arial" w:cs="Arial"/>
                <w:sz w:val="18"/>
                <w:szCs w:val="18"/>
              </w:rPr>
            </w:pPr>
          </w:p>
          <w:p w:rsidR="00D4371D" w:rsidRDefault="00D4371D" w:rsidP="003E7651">
            <w:pPr>
              <w:jc w:val="right"/>
              <w:rPr>
                <w:rFonts w:ascii="Arial" w:hAnsi="Arial" w:cs="Arial"/>
                <w:sz w:val="18"/>
                <w:szCs w:val="18"/>
              </w:rPr>
            </w:pPr>
          </w:p>
          <w:p w:rsidR="00D4371D" w:rsidRPr="005178D2" w:rsidRDefault="00D4371D" w:rsidP="003E7651">
            <w:pPr>
              <w:jc w:val="right"/>
              <w:rPr>
                <w:rFonts w:ascii="Arial" w:hAnsi="Arial" w:cs="Arial"/>
                <w:sz w:val="18"/>
                <w:szCs w:val="18"/>
              </w:rPr>
            </w:pPr>
            <w:r>
              <w:rPr>
                <w:rFonts w:ascii="Arial" w:hAnsi="Arial" w:cs="Arial"/>
                <w:sz w:val="18"/>
                <w:szCs w:val="18"/>
              </w:rPr>
              <w:t>IDEALIZE</w:t>
            </w:r>
          </w:p>
        </w:tc>
        <w:tc>
          <w:tcPr>
            <w:tcW w:w="1276" w:type="dxa"/>
            <w:vAlign w:val="center"/>
          </w:tcPr>
          <w:p w:rsidR="00F8312D" w:rsidRPr="005178D2" w:rsidRDefault="00D4371D" w:rsidP="003E7651">
            <w:pPr>
              <w:jc w:val="right"/>
              <w:rPr>
                <w:rFonts w:ascii="Arial" w:hAnsi="Arial" w:cs="Arial"/>
                <w:sz w:val="18"/>
                <w:szCs w:val="18"/>
              </w:rPr>
            </w:pPr>
            <w:r>
              <w:rPr>
                <w:rFonts w:ascii="Arial" w:hAnsi="Arial" w:cs="Arial"/>
                <w:sz w:val="18"/>
                <w:szCs w:val="18"/>
              </w:rPr>
              <w:t>13,00</w:t>
            </w:r>
          </w:p>
        </w:tc>
        <w:tc>
          <w:tcPr>
            <w:tcW w:w="1417" w:type="dxa"/>
            <w:vAlign w:val="center"/>
          </w:tcPr>
          <w:p w:rsidR="00F8312D" w:rsidRPr="005178D2" w:rsidRDefault="00D4371D" w:rsidP="003E7651">
            <w:pPr>
              <w:jc w:val="right"/>
              <w:rPr>
                <w:rFonts w:ascii="Arial" w:hAnsi="Arial" w:cs="Arial"/>
                <w:sz w:val="18"/>
                <w:szCs w:val="18"/>
              </w:rPr>
            </w:pPr>
            <w:r>
              <w:rPr>
                <w:rFonts w:ascii="Arial" w:hAnsi="Arial" w:cs="Arial"/>
                <w:sz w:val="18"/>
                <w:szCs w:val="18"/>
              </w:rPr>
              <w:t>1.950,00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D4371D" w:rsidRDefault="005178D2" w:rsidP="00D4371D">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D40E59" w:rsidRDefault="005178D2" w:rsidP="00D40E59">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5178D2" w:rsidRPr="00D40E59" w:rsidRDefault="005178D2" w:rsidP="00D40E59">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D40E59" w:rsidRDefault="005178D2" w:rsidP="00D40E59">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Ao executar o objeto, a DETENTORA deverá 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D40E59" w:rsidRDefault="005178D2" w:rsidP="00D40E59">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D40E59" w:rsidRDefault="005178D2" w:rsidP="00D40E59">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D40E59" w:rsidRDefault="005178D2" w:rsidP="00D40E59">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D40E59" w:rsidRDefault="005178D2" w:rsidP="00D40E59">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Caso os materiais sejam recusados ou o documento fiscal apresente incorreção, o prazo de pagamento será contado a partir da data da regularização da entrega ou do documento fiscal, a depender do evento.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w:t>
      </w:r>
      <w:r w:rsidRPr="005178D2">
        <w:rPr>
          <w:rFonts w:cs="Arial"/>
          <w:sz w:val="18"/>
          <w:szCs w:val="18"/>
        </w:rPr>
        <w:lastRenderedPageBreak/>
        <w:t xml:space="preserve">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O pagamento será realizado em até 30 (trinta) dias, contados da entrega do objeto, importando os valores conforme a 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D4371D" w:rsidRDefault="005178D2" w:rsidP="00D4371D">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440793">
        <w:rPr>
          <w:rFonts w:ascii="Arial" w:hAnsi="Arial" w:cs="Arial"/>
          <w:sz w:val="18"/>
          <w:szCs w:val="18"/>
        </w:rPr>
        <w:t xml:space="preserve"> Banco Brasil, </w:t>
      </w:r>
      <w:proofErr w:type="spellStart"/>
      <w:r w:rsidR="00440793">
        <w:rPr>
          <w:rFonts w:ascii="Arial" w:hAnsi="Arial" w:cs="Arial"/>
          <w:sz w:val="18"/>
          <w:szCs w:val="18"/>
        </w:rPr>
        <w:t>Ag</w:t>
      </w:r>
      <w:proofErr w:type="spellEnd"/>
      <w:r w:rsidR="00440793">
        <w:rPr>
          <w:rFonts w:ascii="Arial" w:hAnsi="Arial" w:cs="Arial"/>
          <w:sz w:val="18"/>
          <w:szCs w:val="18"/>
        </w:rPr>
        <w:t>. 644-0, c/c 45155-X.</w:t>
      </w:r>
    </w:p>
    <w:p w:rsidR="005178D2" w:rsidRPr="00D4371D" w:rsidRDefault="005178D2" w:rsidP="00D4371D">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D4371D"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D4371D" w:rsidRDefault="005178D2" w:rsidP="00D4371D">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D4371D" w:rsidRDefault="005178D2" w:rsidP="00D4371D">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D4371D"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A ordem de classificação dos fornecedores que aceitarem reduzir seus preços aos valores de mercado observará a classificação original.</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lastRenderedPageBreak/>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por eventuais danos causados à Administração ou a terceiros, decorrentes de sua culpa ou dolo na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Conduzir eventuais procedimentos administrativos de renegociação de preços registrados, para fins de adequação às 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D4371D" w:rsidRDefault="005178D2" w:rsidP="00D4371D">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178D2" w:rsidRPr="00D4371D" w:rsidRDefault="005178D2" w:rsidP="00D4371D">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D40E59" w:rsidRDefault="005178D2" w:rsidP="00D40E59">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D40E59" w:rsidRDefault="005178D2" w:rsidP="00D40E59">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D4371D" w:rsidRDefault="005178D2" w:rsidP="00D4371D">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O cancelamento de registros nas hipóteses previstas nas alíneas “a”, “b” e “d” será formalizado por despacho do órgão gerenciador, assegurado o contraditório e a ampla defesa.</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ou a </w:t>
      </w:r>
      <w:r w:rsidRPr="005178D2">
        <w:rPr>
          <w:rFonts w:cs="Arial"/>
          <w:sz w:val="18"/>
          <w:szCs w:val="18"/>
        </w:rPr>
        <w:lastRenderedPageBreak/>
        <w:t>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D4371D" w:rsidRDefault="005178D2" w:rsidP="00D4371D">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5178D2" w:rsidRPr="00D4371D" w:rsidRDefault="005178D2" w:rsidP="00D4371D">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D4371D" w:rsidRDefault="005178D2" w:rsidP="00D4371D">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D4371D" w:rsidRDefault="005178D2" w:rsidP="00D4371D">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5178D2">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5178D2" w:rsidP="005178D2">
      <w:pPr>
        <w:tabs>
          <w:tab w:val="left" w:pos="0"/>
        </w:tabs>
        <w:jc w:val="both"/>
        <w:rPr>
          <w:rFonts w:ascii="Arial" w:hAnsi="Arial" w:cs="Arial"/>
          <w:sz w:val="18"/>
          <w:szCs w:val="18"/>
        </w:rPr>
      </w:pPr>
    </w:p>
    <w:p w:rsidR="005178D2" w:rsidRPr="005178D2" w:rsidRDefault="00166A4A"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xml:space="preserve">, </w:t>
      </w:r>
      <w:r w:rsidR="00D4371D">
        <w:rPr>
          <w:rFonts w:ascii="Arial" w:hAnsi="Arial" w:cs="Arial"/>
          <w:sz w:val="18"/>
          <w:szCs w:val="18"/>
        </w:rPr>
        <w:t>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9C7D7A">
      <w:pPr>
        <w:tabs>
          <w:tab w:val="left" w:pos="1134"/>
        </w:tabs>
        <w:rPr>
          <w:rFonts w:ascii="Arial" w:hAnsi="Arial" w:cs="Arial"/>
          <w:sz w:val="18"/>
          <w:szCs w:val="18"/>
        </w:rPr>
      </w:pPr>
    </w:p>
    <w:p w:rsidR="005178D2" w:rsidRDefault="00D40E59" w:rsidP="005178D2">
      <w:pPr>
        <w:tabs>
          <w:tab w:val="left" w:pos="1134"/>
        </w:tabs>
        <w:jc w:val="center"/>
        <w:rPr>
          <w:rFonts w:ascii="Arial" w:hAnsi="Arial" w:cs="Arial"/>
          <w:sz w:val="18"/>
          <w:szCs w:val="18"/>
        </w:rPr>
      </w:pPr>
      <w:r>
        <w:rPr>
          <w:rFonts w:ascii="Arial" w:hAnsi="Arial" w:cs="Arial"/>
          <w:sz w:val="18"/>
          <w:szCs w:val="18"/>
        </w:rPr>
        <w:t>IDEALIZE COMUNICAÇÃO E BRINDES LTDA-ME</w:t>
      </w:r>
    </w:p>
    <w:p w:rsidR="00D40E59" w:rsidRPr="005178D2" w:rsidRDefault="00D40E59" w:rsidP="005178D2">
      <w:pPr>
        <w:tabs>
          <w:tab w:val="left" w:pos="1134"/>
        </w:tabs>
        <w:jc w:val="center"/>
        <w:rPr>
          <w:rFonts w:ascii="Arial" w:hAnsi="Arial" w:cs="Arial"/>
          <w:sz w:val="18"/>
          <w:szCs w:val="18"/>
        </w:rPr>
      </w:pPr>
      <w:r>
        <w:rPr>
          <w:rFonts w:ascii="Arial" w:hAnsi="Arial" w:cs="Arial"/>
          <w:sz w:val="18"/>
          <w:szCs w:val="18"/>
        </w:rPr>
        <w:t>GILBERTO LUPATO</w:t>
      </w:r>
    </w:p>
    <w:p w:rsidR="005178D2" w:rsidRPr="005178D2" w:rsidRDefault="005178D2" w:rsidP="00D40E59">
      <w:pPr>
        <w:tabs>
          <w:tab w:val="left" w:pos="1134"/>
        </w:tabs>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Default="005178D2" w:rsidP="00D40E59">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D40E59" w:rsidRPr="00D40E59" w:rsidRDefault="00D40E59" w:rsidP="00D40E59">
      <w:pPr>
        <w:tabs>
          <w:tab w:val="left" w:pos="284"/>
        </w:tabs>
        <w:suppressAutoHyphens/>
        <w:spacing w:after="0" w:line="240" w:lineRule="auto"/>
        <w:ind w:left="284"/>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______________________</w:t>
      </w:r>
    </w:p>
    <w:p w:rsidR="001465DC" w:rsidRDefault="001465DC"/>
    <w:sectPr w:rsidR="001465DC" w:rsidSect="00445BCC">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DC" w:rsidRDefault="001465DC" w:rsidP="001465DC">
      <w:pPr>
        <w:spacing w:after="0" w:line="240" w:lineRule="auto"/>
      </w:pPr>
      <w:r>
        <w:separator/>
      </w:r>
    </w:p>
  </w:endnote>
  <w:endnote w:type="continuationSeparator" w:id="1">
    <w:p w:rsidR="001465DC" w:rsidRDefault="001465DC" w:rsidP="00146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1465DC">
    <w:pPr>
      <w:pStyle w:val="Rodap"/>
      <w:ind w:right="360"/>
      <w:rPr>
        <w:sz w:val="16"/>
      </w:rPr>
    </w:pPr>
    <w:r w:rsidRPr="001465DC">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967401" w:rsidRDefault="001465DC">
                <w:pPr>
                  <w:pStyle w:val="Rodap"/>
                </w:pPr>
                <w:r>
                  <w:rPr>
                    <w:rStyle w:val="Nmerodepgina"/>
                  </w:rPr>
                  <w:fldChar w:fldCharType="begin"/>
                </w:r>
                <w:r w:rsidR="00166A4A">
                  <w:rPr>
                    <w:rStyle w:val="Nmerodepgina"/>
                  </w:rPr>
                  <w:instrText xml:space="preserve"> PAGE </w:instrText>
                </w:r>
                <w:r>
                  <w:rPr>
                    <w:rStyle w:val="Nmerodepgina"/>
                  </w:rPr>
                  <w:fldChar w:fldCharType="separate"/>
                </w:r>
                <w:r w:rsidR="00440793">
                  <w:rPr>
                    <w:rStyle w:val="Nmerodepgina"/>
                    <w:noProof/>
                  </w:rPr>
                  <w:t>3</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DC" w:rsidRDefault="001465DC" w:rsidP="001465DC">
      <w:pPr>
        <w:spacing w:after="0" w:line="240" w:lineRule="auto"/>
      </w:pPr>
      <w:r>
        <w:separator/>
      </w:r>
    </w:p>
  </w:footnote>
  <w:footnote w:type="continuationSeparator" w:id="1">
    <w:p w:rsidR="001465DC" w:rsidRDefault="001465DC" w:rsidP="001465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166A4A">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967401" w:rsidRPr="00C9520B" w:rsidRDefault="00166A4A" w:rsidP="00C9520B">
    <w:pPr>
      <w:ind w:left="1134"/>
      <w:rPr>
        <w:sz w:val="20"/>
      </w:rPr>
    </w:pPr>
    <w:r w:rsidRPr="00C9520B">
      <w:rPr>
        <w:sz w:val="20"/>
      </w:rPr>
      <w:t>MUNICÍPIO DE JOAÇABA</w:t>
    </w:r>
  </w:p>
  <w:p w:rsidR="00C9520B" w:rsidRPr="00C9520B" w:rsidRDefault="00166A4A" w:rsidP="00C9520B">
    <w:pPr>
      <w:ind w:left="1134"/>
      <w:rPr>
        <w:sz w:val="20"/>
      </w:rPr>
    </w:pPr>
    <w:r w:rsidRPr="00C9520B">
      <w:rPr>
        <w:sz w:val="20"/>
      </w:rPr>
      <w:t>SECRETARIA MUNICIPAL DE SAÚDE</w:t>
    </w:r>
  </w:p>
  <w:p w:rsidR="00C9520B" w:rsidRDefault="00166A4A" w:rsidP="00C9520B">
    <w:pPr>
      <w:ind w:left="1134"/>
      <w:rPr>
        <w:b/>
        <w:sz w:val="20"/>
      </w:rPr>
    </w:pPr>
    <w:r>
      <w:rPr>
        <w:b/>
        <w:sz w:val="20"/>
      </w:rPr>
      <w:t>Fundo Municipal de Saúde</w:t>
    </w:r>
  </w:p>
  <w:p w:rsidR="00445BCC" w:rsidRDefault="00440793" w:rsidP="00C9520B">
    <w:pPr>
      <w:ind w:left="1134"/>
      <w:rPr>
        <w:b/>
        <w:sz w:val="20"/>
      </w:rPr>
    </w:pPr>
  </w:p>
  <w:p w:rsidR="00445BCC" w:rsidRDefault="00440793" w:rsidP="00C9520B">
    <w:pPr>
      <w:ind w:left="1134"/>
      <w:rPr>
        <w:b/>
        <w:sz w:val="20"/>
      </w:rPr>
    </w:pPr>
  </w:p>
  <w:p w:rsidR="00445BCC" w:rsidRDefault="00440793" w:rsidP="00C9520B">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759ED"/>
    <w:rsid w:val="001465DC"/>
    <w:rsid w:val="00166A4A"/>
    <w:rsid w:val="002743D7"/>
    <w:rsid w:val="003B186C"/>
    <w:rsid w:val="0040189D"/>
    <w:rsid w:val="00440793"/>
    <w:rsid w:val="005178D2"/>
    <w:rsid w:val="00556EA6"/>
    <w:rsid w:val="006B07D2"/>
    <w:rsid w:val="006F3537"/>
    <w:rsid w:val="007D61D5"/>
    <w:rsid w:val="009C7D7A"/>
    <w:rsid w:val="00D40E59"/>
    <w:rsid w:val="00D4371D"/>
    <w:rsid w:val="00DB674B"/>
    <w:rsid w:val="00E841E6"/>
    <w:rsid w:val="00EF7C42"/>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DC"/>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3153-ECC7-4B02-90B1-4437D177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2413</Words>
  <Characters>13035</Characters>
  <Application>Microsoft Office Word</Application>
  <DocSecurity>0</DocSecurity>
  <Lines>108</Lines>
  <Paragraphs>30</Paragraphs>
  <ScaleCrop>false</ScaleCrop>
  <Company>PMJ</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2017-08-18T18:50:00Z</dcterms:created>
  <dcterms:modified xsi:type="dcterms:W3CDTF">2017-08-18T19:21:00Z</dcterms:modified>
</cp:coreProperties>
</file>