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800EC4">
        <w:rPr>
          <w:rFonts w:ascii="Arial" w:hAnsi="Arial" w:cs="Arial"/>
          <w:b/>
          <w:sz w:val="20"/>
          <w:szCs w:val="20"/>
        </w:rPr>
        <w:t>09</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PEDREIRA CALDART LTDA-EPP</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BR 282-KM 382 – FONE: 49-3554-2162</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79.386.850/0001-20</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ALIRIO ANTONIO CALDART</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238.832.860-87</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800EC4" w:rsidP="006E02E0">
            <w:pPr>
              <w:autoSpaceDE w:val="0"/>
              <w:autoSpaceDN w:val="0"/>
              <w:adjustRightInd w:val="0"/>
              <w:rPr>
                <w:rFonts w:ascii="Arial" w:hAnsi="Arial" w:cs="Arial"/>
                <w:b/>
                <w:sz w:val="18"/>
                <w:szCs w:val="18"/>
              </w:rPr>
            </w:pPr>
            <w:r>
              <w:rPr>
                <w:rFonts w:ascii="Arial" w:hAnsi="Arial" w:cs="Arial"/>
                <w:b/>
                <w:sz w:val="18"/>
                <w:szCs w:val="18"/>
              </w:rPr>
              <w:t>1002093399</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1</w:t>
            </w:r>
            <w:proofErr w:type="gramEnd"/>
          </w:p>
        </w:tc>
        <w:tc>
          <w:tcPr>
            <w:tcW w:w="728" w:type="dxa"/>
            <w:vAlign w:val="center"/>
          </w:tcPr>
          <w:p w:rsidR="000C462F" w:rsidRPr="00EA3C46" w:rsidRDefault="000C462F" w:rsidP="006E02E0">
            <w:pPr>
              <w:jc w:val="center"/>
              <w:rPr>
                <w:rFonts w:ascii="Arial" w:hAnsi="Arial" w:cs="Arial"/>
                <w:bCs/>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950</w:t>
            </w:r>
          </w:p>
        </w:tc>
        <w:tc>
          <w:tcPr>
            <w:tcW w:w="4253" w:type="dxa"/>
            <w:vAlign w:val="center"/>
          </w:tcPr>
          <w:p w:rsidR="000C462F" w:rsidRPr="00EA3C46" w:rsidRDefault="000C462F" w:rsidP="006E02E0">
            <w:pPr>
              <w:rPr>
                <w:rFonts w:ascii="Arial" w:hAnsi="Arial" w:cs="Arial"/>
                <w:bCs/>
                <w:sz w:val="18"/>
                <w:szCs w:val="18"/>
              </w:rPr>
            </w:pPr>
            <w:r w:rsidRPr="00EA3C46">
              <w:rPr>
                <w:rFonts w:ascii="Arial" w:hAnsi="Arial" w:cs="Arial"/>
                <w:sz w:val="18"/>
                <w:szCs w:val="18"/>
              </w:rPr>
              <w:t>Areia fina</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ARENITO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140,00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133.000,00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2</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950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Areia média</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ARENITO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140,00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133.000,00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3</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Brita 3/8 (9,52 mm)</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19,00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5.700,00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4</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950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Brita I (19,5 mm)</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16,00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15.200,00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5</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Brita II</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15,00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8.250,00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lastRenderedPageBreak/>
              <w:t>6</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1500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Brita graduada – faixa “A” - DNIT</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13,00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19.500,00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7</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12500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Brita graduada – 2ª categoria</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13,00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162.500,00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8</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575</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Pó de pedra</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14,00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8.050,00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proofErr w:type="gramStart"/>
            <w:r w:rsidRPr="00EA3C46">
              <w:rPr>
                <w:rFonts w:ascii="Arial" w:hAnsi="Arial" w:cs="Arial"/>
                <w:sz w:val="18"/>
                <w:szCs w:val="18"/>
              </w:rPr>
              <w:t>9</w:t>
            </w:r>
            <w:proofErr w:type="gramEnd"/>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5100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Pedrisco de 2ª categoria com areia</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13,00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66.300,00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m³</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Pedra rachão</w:t>
            </w:r>
          </w:p>
        </w:tc>
        <w:tc>
          <w:tcPr>
            <w:tcW w:w="1276" w:type="dxa"/>
          </w:tcPr>
          <w:p w:rsidR="000C462F" w:rsidRPr="00EA3C46" w:rsidRDefault="00800EC4" w:rsidP="006E02E0">
            <w:pPr>
              <w:jc w:val="center"/>
              <w:rPr>
                <w:rFonts w:ascii="Arial" w:hAnsi="Arial" w:cs="Arial"/>
                <w:sz w:val="18"/>
                <w:szCs w:val="18"/>
              </w:rPr>
            </w:pPr>
            <w:r>
              <w:rPr>
                <w:rFonts w:ascii="Arial" w:hAnsi="Arial" w:cs="Arial"/>
                <w:sz w:val="18"/>
                <w:szCs w:val="18"/>
              </w:rPr>
              <w:t>BASALTO</w:t>
            </w:r>
          </w:p>
        </w:tc>
        <w:tc>
          <w:tcPr>
            <w:tcW w:w="1134" w:type="dxa"/>
          </w:tcPr>
          <w:p w:rsidR="000C462F" w:rsidRPr="00EA3C46" w:rsidRDefault="00800EC4" w:rsidP="006E02E0">
            <w:pPr>
              <w:jc w:val="center"/>
              <w:rPr>
                <w:rFonts w:ascii="Arial" w:hAnsi="Arial" w:cs="Arial"/>
                <w:sz w:val="18"/>
                <w:szCs w:val="18"/>
              </w:rPr>
            </w:pPr>
            <w:r>
              <w:rPr>
                <w:rFonts w:ascii="Arial" w:hAnsi="Arial" w:cs="Arial"/>
                <w:sz w:val="18"/>
                <w:szCs w:val="18"/>
              </w:rPr>
              <w:t>14,00</w:t>
            </w:r>
          </w:p>
        </w:tc>
        <w:tc>
          <w:tcPr>
            <w:tcW w:w="1275" w:type="dxa"/>
          </w:tcPr>
          <w:p w:rsidR="000C462F" w:rsidRPr="00EA3C46" w:rsidRDefault="00800EC4" w:rsidP="006E02E0">
            <w:pPr>
              <w:jc w:val="center"/>
              <w:rPr>
                <w:rFonts w:ascii="Arial" w:hAnsi="Arial" w:cs="Arial"/>
                <w:sz w:val="18"/>
                <w:szCs w:val="18"/>
              </w:rPr>
            </w:pPr>
            <w:r>
              <w:rPr>
                <w:rFonts w:ascii="Arial" w:hAnsi="Arial" w:cs="Arial"/>
                <w:sz w:val="18"/>
                <w:szCs w:val="18"/>
              </w:rPr>
              <w:t>5.600,00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lastRenderedPageBreak/>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301250">
        <w:rPr>
          <w:rFonts w:cs="Arial"/>
          <w:sz w:val="18"/>
          <w:szCs w:val="18"/>
        </w:rPr>
        <w:t xml:space="preserve"> Banco do Brasil, </w:t>
      </w:r>
      <w:proofErr w:type="spellStart"/>
      <w:r w:rsidR="00301250">
        <w:rPr>
          <w:rFonts w:cs="Arial"/>
          <w:sz w:val="18"/>
          <w:szCs w:val="18"/>
        </w:rPr>
        <w:t>Ag</w:t>
      </w:r>
      <w:proofErr w:type="spellEnd"/>
      <w:r w:rsidR="00301250">
        <w:rPr>
          <w:rFonts w:cs="Arial"/>
          <w:sz w:val="18"/>
          <w:szCs w:val="18"/>
        </w:rPr>
        <w:t>. 0137-6, c/c 125.152-x.</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lastRenderedPageBreak/>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DC32AA">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DC32AA">
      <w:pPr>
        <w:tabs>
          <w:tab w:val="left" w:pos="1134"/>
        </w:tabs>
        <w:rPr>
          <w:rFonts w:ascii="Arial" w:hAnsi="Arial" w:cs="Arial"/>
          <w:sz w:val="18"/>
          <w:szCs w:val="18"/>
        </w:rPr>
      </w:pPr>
    </w:p>
    <w:p w:rsidR="000C462F" w:rsidRDefault="00DC32AA" w:rsidP="000C462F">
      <w:pPr>
        <w:tabs>
          <w:tab w:val="left" w:pos="1134"/>
        </w:tabs>
        <w:jc w:val="center"/>
        <w:rPr>
          <w:rFonts w:ascii="Arial" w:hAnsi="Arial" w:cs="Arial"/>
          <w:sz w:val="18"/>
          <w:szCs w:val="18"/>
        </w:rPr>
      </w:pPr>
      <w:r>
        <w:rPr>
          <w:rFonts w:ascii="Arial" w:hAnsi="Arial" w:cs="Arial"/>
          <w:sz w:val="18"/>
          <w:szCs w:val="18"/>
        </w:rPr>
        <w:t>PEDREIRA CALDART LTDA-EPP</w:t>
      </w:r>
    </w:p>
    <w:p w:rsidR="00DC32AA" w:rsidRPr="00EA3C46" w:rsidRDefault="00DC32AA" w:rsidP="000C462F">
      <w:pPr>
        <w:tabs>
          <w:tab w:val="left" w:pos="1134"/>
        </w:tabs>
        <w:jc w:val="center"/>
        <w:rPr>
          <w:rFonts w:ascii="Arial" w:hAnsi="Arial" w:cs="Arial"/>
          <w:sz w:val="18"/>
          <w:szCs w:val="18"/>
        </w:rPr>
      </w:pPr>
      <w:r>
        <w:rPr>
          <w:rFonts w:ascii="Arial" w:hAnsi="Arial" w:cs="Arial"/>
          <w:sz w:val="18"/>
          <w:szCs w:val="18"/>
        </w:rPr>
        <w:t>ALIRIO ANTONIO CALDART</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516A5D" w:rsidRPr="00EA3C46" w:rsidRDefault="00516A5D">
      <w:pPr>
        <w:rPr>
          <w:rFonts w:ascii="Arial" w:hAnsi="Arial" w:cs="Arial"/>
          <w:sz w:val="18"/>
          <w:szCs w:val="18"/>
        </w:rPr>
      </w:pPr>
    </w:p>
    <w:sectPr w:rsidR="00516A5D"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A5D" w:rsidRDefault="00516A5D" w:rsidP="00516A5D">
      <w:pPr>
        <w:spacing w:after="0" w:line="240" w:lineRule="auto"/>
      </w:pPr>
      <w:r>
        <w:separator/>
      </w:r>
    </w:p>
  </w:endnote>
  <w:endnote w:type="continuationSeparator" w:id="1">
    <w:p w:rsidR="00516A5D" w:rsidRDefault="00516A5D" w:rsidP="00516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516A5D">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516A5D">
                <w:pPr>
                  <w:pStyle w:val="Rodap"/>
                </w:pPr>
                <w:r>
                  <w:rPr>
                    <w:rStyle w:val="Nmerodepgina"/>
                  </w:rPr>
                  <w:fldChar w:fldCharType="begin"/>
                </w:r>
                <w:r w:rsidR="001D393C">
                  <w:rPr>
                    <w:rStyle w:val="Nmerodepgina"/>
                  </w:rPr>
                  <w:instrText xml:space="preserve"> PAGE </w:instrText>
                </w:r>
                <w:r>
                  <w:rPr>
                    <w:rStyle w:val="Nmerodepgina"/>
                  </w:rPr>
                  <w:fldChar w:fldCharType="separate"/>
                </w:r>
                <w:r w:rsidR="00DC32AA">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A5D" w:rsidRDefault="00516A5D" w:rsidP="00516A5D">
      <w:pPr>
        <w:spacing w:after="0" w:line="240" w:lineRule="auto"/>
      </w:pPr>
      <w:r>
        <w:separator/>
      </w:r>
    </w:p>
  </w:footnote>
  <w:footnote w:type="continuationSeparator" w:id="1">
    <w:p w:rsidR="00516A5D" w:rsidRDefault="00516A5D" w:rsidP="00516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DC32AA" w:rsidP="004A3D52">
    <w:pPr>
      <w:ind w:left="993"/>
      <w:rPr>
        <w:sz w:val="20"/>
      </w:rPr>
    </w:pPr>
  </w:p>
  <w:p w:rsidR="00511575" w:rsidRPr="000F6032" w:rsidRDefault="00DC32AA"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0C687A"/>
    <w:rsid w:val="001D393C"/>
    <w:rsid w:val="00301250"/>
    <w:rsid w:val="004A270D"/>
    <w:rsid w:val="00516A5D"/>
    <w:rsid w:val="00724F8A"/>
    <w:rsid w:val="00800EC4"/>
    <w:rsid w:val="00A72A38"/>
    <w:rsid w:val="00BE6C4E"/>
    <w:rsid w:val="00DC32AA"/>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5D"/>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2348</Words>
  <Characters>12685</Characters>
  <Application>Microsoft Office Word</Application>
  <DocSecurity>0</DocSecurity>
  <Lines>105</Lines>
  <Paragraphs>30</Paragraphs>
  <ScaleCrop>false</ScaleCrop>
  <Company>PMJ</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2017-08-10T17:44:00Z</dcterms:created>
  <dcterms:modified xsi:type="dcterms:W3CDTF">2017-08-10T17:55:00Z</dcterms:modified>
</cp:coreProperties>
</file>