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EE49C3">
      <w:pPr>
        <w:pStyle w:val="Recuodecorpodetexto"/>
        <w:ind w:left="0"/>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EE49C3">
        <w:rPr>
          <w:b/>
          <w:sz w:val="20"/>
          <w:lang w:eastAsia="pt-BR"/>
        </w:rPr>
        <w:t>06</w:t>
      </w:r>
      <w:r w:rsidRPr="008D04C3">
        <w:rPr>
          <w:b/>
          <w:sz w:val="20"/>
          <w:lang w:eastAsia="pt-BR"/>
        </w:rPr>
        <w:t>/201</w:t>
      </w:r>
      <w:r w:rsidR="00617FC3" w:rsidRPr="008D04C3">
        <w:rPr>
          <w:b/>
          <w:sz w:val="20"/>
          <w:lang w:eastAsia="pt-BR"/>
        </w:rPr>
        <w:t>7</w:t>
      </w:r>
      <w:r w:rsidR="00EE49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EE49C3" w:rsidRDefault="003510CB" w:rsidP="003510CB">
      <w:pPr>
        <w:spacing w:line="276" w:lineRule="auto"/>
        <w:jc w:val="both"/>
        <w:rPr>
          <w:sz w:val="20"/>
        </w:rPr>
      </w:pPr>
      <w:r w:rsidRPr="008D04C3">
        <w:rPr>
          <w:sz w:val="20"/>
        </w:rPr>
        <w:t xml:space="preserve">Aos </w:t>
      </w:r>
      <w:r w:rsidR="00EE49C3">
        <w:rPr>
          <w:sz w:val="20"/>
        </w:rPr>
        <w:t xml:space="preserve">19 </w:t>
      </w:r>
      <w:r w:rsidRPr="008D04C3">
        <w:rPr>
          <w:sz w:val="20"/>
        </w:rPr>
        <w:t xml:space="preserve">dias do mês de </w:t>
      </w:r>
      <w:r w:rsidR="00EE49C3">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EE49C3">
        <w:rPr>
          <w:sz w:val="20"/>
        </w:rPr>
        <w:t xml:space="preserve">nº </w:t>
      </w:r>
      <w:r w:rsidR="008D04C3" w:rsidRPr="00EE49C3">
        <w:rPr>
          <w:sz w:val="20"/>
        </w:rPr>
        <w:t>08</w:t>
      </w:r>
      <w:r w:rsidR="003637E5" w:rsidRPr="00EE49C3">
        <w:rPr>
          <w:sz w:val="20"/>
        </w:rPr>
        <w:t>/201</w:t>
      </w:r>
      <w:r w:rsidR="00081505" w:rsidRPr="00EE49C3">
        <w:rPr>
          <w:sz w:val="20"/>
        </w:rPr>
        <w:t>7</w:t>
      </w:r>
      <w:r w:rsidR="003637E5" w:rsidRPr="00EE49C3">
        <w:rPr>
          <w:sz w:val="20"/>
        </w:rPr>
        <w:t xml:space="preserve">/FMS - Edital de </w:t>
      </w:r>
      <w:r w:rsidRPr="00EE49C3">
        <w:rPr>
          <w:sz w:val="20"/>
        </w:rPr>
        <w:t xml:space="preserve">Pregão Presencial nº </w:t>
      </w:r>
      <w:r w:rsidR="008D04C3" w:rsidRPr="00EE49C3">
        <w:rPr>
          <w:sz w:val="20"/>
        </w:rPr>
        <w:t>07</w:t>
      </w:r>
      <w:r w:rsidRPr="00EE49C3">
        <w:rPr>
          <w:sz w:val="20"/>
        </w:rPr>
        <w:t>/201</w:t>
      </w:r>
      <w:r w:rsidR="00081505" w:rsidRPr="00EE49C3">
        <w:rPr>
          <w:sz w:val="20"/>
        </w:rPr>
        <w:t>7</w:t>
      </w:r>
      <w:r w:rsidRPr="00EE49C3">
        <w:rPr>
          <w:sz w:val="20"/>
        </w:rPr>
        <w:t xml:space="preserve">/FMS, mediante termos e condições que seguem. </w:t>
      </w:r>
    </w:p>
    <w:p w:rsidR="003510CB" w:rsidRPr="00EE49C3" w:rsidRDefault="003510CB" w:rsidP="003510CB">
      <w:pPr>
        <w:suppressAutoHyphens w:val="0"/>
        <w:autoSpaceDE w:val="0"/>
        <w:autoSpaceDN w:val="0"/>
        <w:adjustRightInd w:val="0"/>
        <w:spacing w:line="360" w:lineRule="auto"/>
        <w:rPr>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sidRPr="00153AC8">
              <w:rPr>
                <w:sz w:val="20"/>
                <w:lang w:eastAsia="pt-BR"/>
              </w:rPr>
              <w:t>PONTAMED FARMACEUTICA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sidRPr="00153AC8">
              <w:rPr>
                <w:sz w:val="20"/>
                <w:lang w:eastAsia="pt-BR"/>
              </w:rPr>
              <w:t>RUA FRANCO GRILO, N. 374, FUNDOS, BAIRRO COLONIA DONA LUIZA, MUNICÍPIO PONTA GROSSA, CEP 84.045-320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Pr>
                <w:sz w:val="20"/>
                <w:lang w:eastAsia="pt-BR"/>
              </w:rPr>
              <w:t>02.816.696/0001-54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53AC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FERNANDO PARUCKER DA SILVA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sidRPr="00153AC8">
              <w:rPr>
                <w:sz w:val="20"/>
                <w:lang w:eastAsia="pt-BR"/>
              </w:rPr>
              <w:t>MUNICÍPIO PONTA GROSSA, CEP 84.045-320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248.710.109-10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2/R-188.527</w:t>
            </w:r>
            <w:bookmarkStart w:id="0" w:name="_GoBack"/>
            <w:bookmarkEnd w:id="0"/>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784"/>
        <w:gridCol w:w="992"/>
        <w:gridCol w:w="1701"/>
        <w:gridCol w:w="1276"/>
        <w:gridCol w:w="1559"/>
      </w:tblGrid>
      <w:tr w:rsidR="005A3DC9" w:rsidRPr="008D04C3" w:rsidTr="005A3DC9">
        <w:tc>
          <w:tcPr>
            <w:tcW w:w="634"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784"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MARCA</w:t>
            </w:r>
          </w:p>
        </w:tc>
        <w:tc>
          <w:tcPr>
            <w:tcW w:w="1276" w:type="dxa"/>
            <w:shd w:val="clear" w:color="auto" w:fill="auto"/>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VALOR</w:t>
            </w: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 xml:space="preserve">UNITÁRIO </w:t>
            </w:r>
          </w:p>
          <w:p w:rsidR="005A3DC9" w:rsidRPr="008D04C3" w:rsidRDefault="005A3DC9"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559" w:type="dxa"/>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VALOR</w:t>
            </w: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 xml:space="preserve">TOTAL </w:t>
            </w:r>
          </w:p>
          <w:p w:rsidR="005A3DC9" w:rsidRPr="008D04C3" w:rsidRDefault="005A3DC9"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25</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Amiodarona</w:t>
            </w:r>
            <w:proofErr w:type="spellEnd"/>
            <w:r w:rsidRPr="008D04C3">
              <w:rPr>
                <w:rFonts w:ascii="Calibri" w:hAnsi="Calibri" w:cs="Calibri"/>
                <w:sz w:val="22"/>
                <w:szCs w:val="22"/>
              </w:rPr>
              <w:t xml:space="preserve"> 200 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rPr>
            </w:pPr>
            <w:r>
              <w:rPr>
                <w:sz w:val="20"/>
              </w:rPr>
              <w:t>GEOLAB</w:t>
            </w:r>
          </w:p>
        </w:tc>
        <w:tc>
          <w:tcPr>
            <w:tcW w:w="1276" w:type="dxa"/>
            <w:vAlign w:val="center"/>
          </w:tcPr>
          <w:p w:rsidR="005A3DC9" w:rsidRPr="008D04C3" w:rsidRDefault="002B50D3" w:rsidP="000C49C5">
            <w:pPr>
              <w:snapToGrid w:val="0"/>
              <w:jc w:val="right"/>
              <w:rPr>
                <w:sz w:val="20"/>
              </w:rPr>
            </w:pPr>
            <w:r>
              <w:rPr>
                <w:sz w:val="20"/>
              </w:rPr>
              <w:t>0,279</w:t>
            </w:r>
          </w:p>
        </w:tc>
        <w:tc>
          <w:tcPr>
            <w:tcW w:w="1559" w:type="dxa"/>
          </w:tcPr>
          <w:p w:rsidR="005A3DC9" w:rsidRPr="008D04C3" w:rsidRDefault="002B50D3" w:rsidP="000C49C5">
            <w:pPr>
              <w:snapToGrid w:val="0"/>
              <w:jc w:val="right"/>
              <w:rPr>
                <w:sz w:val="20"/>
              </w:rPr>
            </w:pPr>
            <w:r>
              <w:rPr>
                <w:sz w:val="20"/>
              </w:rPr>
              <w:t>22.320,00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67</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Cetoconazol</w:t>
            </w:r>
            <w:proofErr w:type="spellEnd"/>
            <w:r w:rsidRPr="008D04C3">
              <w:rPr>
                <w:rFonts w:ascii="Calibri" w:hAnsi="Calibri" w:cs="Calibri"/>
                <w:sz w:val="22"/>
                <w:szCs w:val="22"/>
              </w:rPr>
              <w:t xml:space="preserve"> creme 30g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TB</w:t>
            </w:r>
          </w:p>
        </w:tc>
        <w:tc>
          <w:tcPr>
            <w:tcW w:w="1701" w:type="dxa"/>
            <w:vAlign w:val="center"/>
          </w:tcPr>
          <w:p w:rsidR="005A3DC9" w:rsidRPr="008D04C3" w:rsidRDefault="005A3DC9" w:rsidP="000C49C5">
            <w:pPr>
              <w:snapToGrid w:val="0"/>
              <w:rPr>
                <w:sz w:val="20"/>
              </w:rPr>
            </w:pPr>
            <w:r>
              <w:rPr>
                <w:sz w:val="20"/>
              </w:rPr>
              <w:t>SOBRAL</w:t>
            </w:r>
          </w:p>
        </w:tc>
        <w:tc>
          <w:tcPr>
            <w:tcW w:w="1276" w:type="dxa"/>
            <w:vAlign w:val="center"/>
          </w:tcPr>
          <w:p w:rsidR="005A3DC9" w:rsidRPr="008D04C3" w:rsidRDefault="002B50D3" w:rsidP="000C49C5">
            <w:pPr>
              <w:snapToGrid w:val="0"/>
              <w:jc w:val="right"/>
              <w:rPr>
                <w:sz w:val="20"/>
              </w:rPr>
            </w:pPr>
            <w:r>
              <w:rPr>
                <w:sz w:val="20"/>
              </w:rPr>
              <w:t>1,57</w:t>
            </w:r>
          </w:p>
        </w:tc>
        <w:tc>
          <w:tcPr>
            <w:tcW w:w="1559" w:type="dxa"/>
          </w:tcPr>
          <w:p w:rsidR="005A3DC9" w:rsidRPr="008D04C3" w:rsidRDefault="002B50D3" w:rsidP="000C49C5">
            <w:pPr>
              <w:snapToGrid w:val="0"/>
              <w:jc w:val="right"/>
              <w:rPr>
                <w:sz w:val="20"/>
              </w:rPr>
            </w:pPr>
            <w:r>
              <w:rPr>
                <w:sz w:val="20"/>
              </w:rPr>
              <w:t>471,00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185</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Lidocaina</w:t>
            </w:r>
            <w:proofErr w:type="spellEnd"/>
            <w:r w:rsidRPr="008D04C3">
              <w:rPr>
                <w:rFonts w:ascii="Calibri" w:hAnsi="Calibri" w:cs="Calibri"/>
                <w:sz w:val="22"/>
                <w:szCs w:val="22"/>
              </w:rPr>
              <w:t xml:space="preserve"> com vaso, 2%</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5A3DC9" w:rsidRPr="008D04C3" w:rsidRDefault="005A3DC9" w:rsidP="000C49C5">
            <w:pPr>
              <w:jc w:val="center"/>
              <w:rPr>
                <w:rFonts w:ascii="Calibri" w:hAnsi="Calibri" w:cs="Calibri"/>
                <w:sz w:val="22"/>
                <w:szCs w:val="22"/>
              </w:rPr>
            </w:pPr>
            <w:proofErr w:type="spellStart"/>
            <w:proofErr w:type="gramStart"/>
            <w:r w:rsidRPr="008D04C3">
              <w:rPr>
                <w:rFonts w:ascii="Calibri" w:hAnsi="Calibri" w:cs="Calibri"/>
                <w:sz w:val="22"/>
                <w:szCs w:val="22"/>
              </w:rPr>
              <w:t>amp</w:t>
            </w:r>
            <w:proofErr w:type="spellEnd"/>
            <w:proofErr w:type="gramEnd"/>
          </w:p>
        </w:tc>
        <w:tc>
          <w:tcPr>
            <w:tcW w:w="1701" w:type="dxa"/>
            <w:vAlign w:val="center"/>
          </w:tcPr>
          <w:p w:rsidR="005A3DC9" w:rsidRPr="008D04C3" w:rsidRDefault="005A3DC9" w:rsidP="000C49C5">
            <w:pPr>
              <w:snapToGrid w:val="0"/>
              <w:rPr>
                <w:sz w:val="20"/>
              </w:rPr>
            </w:pPr>
            <w:r>
              <w:rPr>
                <w:sz w:val="20"/>
              </w:rPr>
              <w:t>HYPOFARMA</w:t>
            </w:r>
          </w:p>
        </w:tc>
        <w:tc>
          <w:tcPr>
            <w:tcW w:w="1276" w:type="dxa"/>
            <w:vAlign w:val="center"/>
          </w:tcPr>
          <w:p w:rsidR="005A3DC9" w:rsidRPr="008D04C3" w:rsidRDefault="002B50D3" w:rsidP="000C49C5">
            <w:pPr>
              <w:snapToGrid w:val="0"/>
              <w:jc w:val="right"/>
              <w:rPr>
                <w:sz w:val="20"/>
              </w:rPr>
            </w:pPr>
            <w:r>
              <w:rPr>
                <w:sz w:val="20"/>
              </w:rPr>
              <w:t>2,60</w:t>
            </w:r>
          </w:p>
        </w:tc>
        <w:tc>
          <w:tcPr>
            <w:tcW w:w="1559" w:type="dxa"/>
          </w:tcPr>
          <w:p w:rsidR="005A3DC9" w:rsidRPr="008D04C3" w:rsidRDefault="002B50D3" w:rsidP="000C49C5">
            <w:pPr>
              <w:snapToGrid w:val="0"/>
              <w:jc w:val="right"/>
              <w:rPr>
                <w:sz w:val="20"/>
              </w:rPr>
            </w:pPr>
            <w:r>
              <w:rPr>
                <w:sz w:val="20"/>
              </w:rPr>
              <w:t>780,00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218</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Nistatina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Susp</w:t>
            </w:r>
            <w:proofErr w:type="spellEnd"/>
            <w:r w:rsidRPr="008D04C3">
              <w:rPr>
                <w:rFonts w:ascii="Calibri" w:hAnsi="Calibri" w:cs="Calibri"/>
                <w:sz w:val="22"/>
                <w:szCs w:val="22"/>
              </w:rPr>
              <w:t xml:space="preserve">.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100.000UI  50 ml -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5A3DC9" w:rsidRPr="008D04C3" w:rsidRDefault="005A3DC9" w:rsidP="000C49C5">
            <w:pPr>
              <w:snapToGrid w:val="0"/>
              <w:rPr>
                <w:sz w:val="20"/>
                <w:lang w:val="pt-PT"/>
              </w:rPr>
            </w:pPr>
            <w:r>
              <w:rPr>
                <w:sz w:val="20"/>
                <w:lang w:val="pt-PT"/>
              </w:rPr>
              <w:t>PRATI DANUDUZZI</w:t>
            </w:r>
          </w:p>
        </w:tc>
        <w:tc>
          <w:tcPr>
            <w:tcW w:w="1276" w:type="dxa"/>
            <w:vAlign w:val="center"/>
          </w:tcPr>
          <w:p w:rsidR="005A3DC9" w:rsidRPr="008D04C3" w:rsidRDefault="002B50D3" w:rsidP="000C49C5">
            <w:pPr>
              <w:snapToGrid w:val="0"/>
              <w:jc w:val="right"/>
              <w:rPr>
                <w:sz w:val="20"/>
              </w:rPr>
            </w:pPr>
            <w:r>
              <w:rPr>
                <w:sz w:val="20"/>
              </w:rPr>
              <w:t>2,669</w:t>
            </w:r>
          </w:p>
        </w:tc>
        <w:tc>
          <w:tcPr>
            <w:tcW w:w="1559" w:type="dxa"/>
          </w:tcPr>
          <w:p w:rsidR="005A3DC9" w:rsidRPr="008D04C3" w:rsidRDefault="002B50D3" w:rsidP="000C49C5">
            <w:pPr>
              <w:snapToGrid w:val="0"/>
              <w:jc w:val="right"/>
              <w:rPr>
                <w:sz w:val="20"/>
              </w:rPr>
            </w:pPr>
            <w:r>
              <w:rPr>
                <w:sz w:val="20"/>
              </w:rPr>
              <w:t>2.669,00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246</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Quetiapina</w:t>
            </w:r>
            <w:proofErr w:type="spellEnd"/>
            <w:r w:rsidRPr="008D04C3">
              <w:rPr>
                <w:rFonts w:ascii="Calibri" w:hAnsi="Calibri" w:cs="Calibri"/>
                <w:sz w:val="22"/>
                <w:szCs w:val="22"/>
              </w:rPr>
              <w:t xml:space="preserve"> 25mg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lang w:val="pt-PT"/>
              </w:rPr>
            </w:pPr>
            <w:r>
              <w:rPr>
                <w:sz w:val="20"/>
                <w:lang w:val="pt-PT"/>
              </w:rPr>
              <w:t>EMS</w:t>
            </w:r>
          </w:p>
        </w:tc>
        <w:tc>
          <w:tcPr>
            <w:tcW w:w="1276" w:type="dxa"/>
            <w:vAlign w:val="center"/>
          </w:tcPr>
          <w:p w:rsidR="005A3DC9" w:rsidRPr="008D04C3" w:rsidRDefault="002B50D3" w:rsidP="000C49C5">
            <w:pPr>
              <w:snapToGrid w:val="0"/>
              <w:jc w:val="right"/>
              <w:rPr>
                <w:sz w:val="20"/>
              </w:rPr>
            </w:pPr>
            <w:r>
              <w:rPr>
                <w:sz w:val="20"/>
              </w:rPr>
              <w:t>0,156</w:t>
            </w:r>
          </w:p>
        </w:tc>
        <w:tc>
          <w:tcPr>
            <w:tcW w:w="1559" w:type="dxa"/>
          </w:tcPr>
          <w:p w:rsidR="005A3DC9" w:rsidRPr="008D04C3" w:rsidRDefault="002B50D3" w:rsidP="000C49C5">
            <w:pPr>
              <w:snapToGrid w:val="0"/>
              <w:jc w:val="right"/>
              <w:rPr>
                <w:sz w:val="20"/>
              </w:rPr>
            </w:pPr>
            <w:r>
              <w:rPr>
                <w:sz w:val="20"/>
              </w:rPr>
              <w:t>2.340,00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lastRenderedPageBreak/>
              <w:t>252</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Risperidona</w:t>
            </w:r>
            <w:proofErr w:type="spellEnd"/>
            <w:r w:rsidRPr="008D04C3">
              <w:rPr>
                <w:rFonts w:ascii="Calibri" w:hAnsi="Calibri" w:cs="Calibri"/>
                <w:sz w:val="22"/>
                <w:szCs w:val="22"/>
              </w:rPr>
              <w:t xml:space="preserve"> 1 mg/ml 30ml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5A3DC9" w:rsidRPr="008D04C3" w:rsidRDefault="005A3DC9" w:rsidP="000C49C5">
            <w:pPr>
              <w:snapToGrid w:val="0"/>
              <w:rPr>
                <w:sz w:val="20"/>
                <w:lang w:val="pt-PT"/>
              </w:rPr>
            </w:pPr>
            <w:r>
              <w:rPr>
                <w:sz w:val="20"/>
                <w:lang w:val="pt-PT"/>
              </w:rPr>
              <w:t>EMS</w:t>
            </w:r>
          </w:p>
        </w:tc>
        <w:tc>
          <w:tcPr>
            <w:tcW w:w="1276" w:type="dxa"/>
            <w:vAlign w:val="center"/>
          </w:tcPr>
          <w:p w:rsidR="005A3DC9" w:rsidRPr="008D04C3" w:rsidRDefault="002B50D3" w:rsidP="000C49C5">
            <w:pPr>
              <w:snapToGrid w:val="0"/>
              <w:jc w:val="right"/>
              <w:rPr>
                <w:sz w:val="20"/>
              </w:rPr>
            </w:pPr>
            <w:r>
              <w:rPr>
                <w:sz w:val="20"/>
              </w:rPr>
              <w:t>11,067</w:t>
            </w:r>
          </w:p>
        </w:tc>
        <w:tc>
          <w:tcPr>
            <w:tcW w:w="1559" w:type="dxa"/>
          </w:tcPr>
          <w:p w:rsidR="005A3DC9" w:rsidRPr="008D04C3" w:rsidRDefault="002B50D3" w:rsidP="000C49C5">
            <w:pPr>
              <w:snapToGrid w:val="0"/>
              <w:jc w:val="right"/>
              <w:rPr>
                <w:sz w:val="20"/>
              </w:rPr>
            </w:pPr>
            <w:r>
              <w:rPr>
                <w:sz w:val="20"/>
              </w:rPr>
              <w:t>1.660,05</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262</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Sulfadiazina</w:t>
            </w:r>
            <w:proofErr w:type="spellEnd"/>
            <w:r w:rsidRPr="008D04C3">
              <w:rPr>
                <w:rFonts w:ascii="Calibri" w:hAnsi="Calibri" w:cs="Calibri"/>
                <w:sz w:val="22"/>
                <w:szCs w:val="22"/>
              </w:rPr>
              <w:t xml:space="preserve"> 500mg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7.000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lang w:val="pt-PT"/>
              </w:rPr>
            </w:pPr>
            <w:r>
              <w:rPr>
                <w:sz w:val="20"/>
                <w:lang w:val="pt-PT"/>
              </w:rPr>
              <w:t>SOBRAL</w:t>
            </w:r>
          </w:p>
        </w:tc>
        <w:tc>
          <w:tcPr>
            <w:tcW w:w="1276" w:type="dxa"/>
            <w:vAlign w:val="center"/>
          </w:tcPr>
          <w:p w:rsidR="005A3DC9" w:rsidRPr="008D04C3" w:rsidRDefault="002B50D3" w:rsidP="000C49C5">
            <w:pPr>
              <w:snapToGrid w:val="0"/>
              <w:jc w:val="right"/>
              <w:rPr>
                <w:sz w:val="20"/>
              </w:rPr>
            </w:pPr>
            <w:r>
              <w:rPr>
                <w:sz w:val="20"/>
              </w:rPr>
              <w:t>0,154</w:t>
            </w:r>
          </w:p>
        </w:tc>
        <w:tc>
          <w:tcPr>
            <w:tcW w:w="1559" w:type="dxa"/>
          </w:tcPr>
          <w:p w:rsidR="005A3DC9" w:rsidRPr="008D04C3" w:rsidRDefault="002B50D3" w:rsidP="000C49C5">
            <w:pPr>
              <w:snapToGrid w:val="0"/>
              <w:jc w:val="right"/>
              <w:rPr>
                <w:sz w:val="20"/>
              </w:rPr>
            </w:pPr>
            <w:r>
              <w:rPr>
                <w:sz w:val="20"/>
              </w:rPr>
              <w:t>1.078,00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w:t>
      </w:r>
      <w:r w:rsidRPr="008D04C3">
        <w:rPr>
          <w:sz w:val="20"/>
        </w:rPr>
        <w:lastRenderedPageBreak/>
        <w:t xml:space="preserve">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w:t>
      </w:r>
      <w:r w:rsidRPr="008D04C3">
        <w:rPr>
          <w:sz w:val="20"/>
        </w:rPr>
        <w:lastRenderedPageBreak/>
        <w:t>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153AC8"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153AC8" w:rsidRPr="008D04C3" w:rsidRDefault="00153AC8" w:rsidP="003510CB">
      <w:pPr>
        <w:tabs>
          <w:tab w:val="left" w:pos="1134"/>
        </w:tabs>
        <w:jc w:val="center"/>
        <w:rPr>
          <w:sz w:val="20"/>
        </w:rPr>
      </w:pPr>
      <w:r>
        <w:rPr>
          <w:sz w:val="20"/>
        </w:rPr>
        <w:t>PONTAMED FARMACEUTICA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6A" w:rsidRDefault="004E786A">
      <w:r>
        <w:separator/>
      </w:r>
    </w:p>
  </w:endnote>
  <w:endnote w:type="continuationSeparator" w:id="0">
    <w:p w:rsidR="004E786A" w:rsidRDefault="004E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EE49C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B01748">
                            <w:rPr>
                              <w:rStyle w:val="Nmerodepgina"/>
                              <w:noProof/>
                            </w:rPr>
                            <w:t>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B01748">
                      <w:rPr>
                        <w:rStyle w:val="Nmerodepgina"/>
                        <w:noProof/>
                      </w:rPr>
                      <w:t>2</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6A" w:rsidRDefault="004E786A">
      <w:r>
        <w:separator/>
      </w:r>
    </w:p>
  </w:footnote>
  <w:footnote w:type="continuationSeparator" w:id="0">
    <w:p w:rsidR="004E786A" w:rsidRDefault="004E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53AC8"/>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B50D3"/>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E786A"/>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3DC9"/>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3606"/>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1748"/>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9C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C4CD1-F6BE-4076-9105-A452442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64DA-928E-4FC8-8058-6CDE603A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2538</Words>
  <Characters>13708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16214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5</cp:revision>
  <cp:lastPrinted>2017-06-22T17:04:00Z</cp:lastPrinted>
  <dcterms:created xsi:type="dcterms:W3CDTF">2017-07-24T18:02:00Z</dcterms:created>
  <dcterms:modified xsi:type="dcterms:W3CDTF">2017-07-24T18:53:00Z</dcterms:modified>
</cp:coreProperties>
</file>